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32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32 — La cloche, et l'inscription par Apple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07/09/2026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Les notifications n'avaient pas de destinataire</w:t>
      </w:r>
    </w:p>
    <w:p>
      <w:pPr>
        <w:spacing w:after="60" w:before="60"/>
      </w:pPr>
      <w:r>
        <w:t xml:space="preserve">Le journal le disait depuis des jours, en toutes lettres :</w:t>
      </w:r>
    </w:p>
    <w:p>
      <w:pPr>
        <w:shd w:fill="F7F4F1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ScheduledPush … envoyé à 0 appareil(s)
</w:t>
      </w:r>
    </w:p>
    <w:p>
      <w:pPr>
        <w:spacing w:after="120"/>
      </w:pPr>
    </w:p>
    <w:p>
      <w:pPr>
        <w:spacing w:after="60" w:before="60"/>
      </w:pPr>
      <w:r>
        <w:t xml:space="preserve">Le mécanisme d'envoi fonctionnait. Ce qui manquait était en amont :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expo-notifications</w:t>
      </w:r>
      <w:r>
        <w:t xml:space="preserve"> n'était pas installé, et </w:t>
      </w:r>
      <w:r>
        <w:rPr>
          <w:rFonts w:ascii="Consolas" w:cs="Consolas" w:eastAsia="Consolas" w:hAnsi="Consolas"/>
          <w:color w:val="8A3B12"/>
        </w:rPr>
        <w:t xml:space="preserve">apiRegisterPushToken</w:t>
      </w:r>
      <w:r>
        <w:t xml:space="preserve"> — la</w:t>
      </w:r>
    </w:p>
    <w:p>
      <w:pPr>
        <w:spacing w:after="60" w:before="60"/>
      </w:pPr>
      <w:r>
        <w:t xml:space="preserve">fonction qui enregistre le jeton d'un téléphone — </w:t>
      </w:r>
      <w:r>
        <w:rPr>
          <w:b/>
          <w:bCs/>
        </w:rPr>
        <w:t xml:space="preserve">n'avait aucun appelant</w:t>
      </w:r>
    </w:p>
    <w:p>
      <w:pPr>
        <w:spacing w:after="60" w:before="60"/>
      </w:pPr>
      <w:r>
        <w:t xml:space="preserve">dans tout le dépôt. Aucun appareil ne s'était jamais annoncé.</w:t>
      </w:r>
    </w:p>
    <w:p>
      <w:pPr>
        <w:spacing w:after="60" w:before="60"/>
      </w:pPr>
      <w:r>
        <w:t xml:space="preserve">C'est le genre de panne qu'aucun test ne rattrape : chaque moitié est correcte,</w:t>
      </w:r>
    </w:p>
    <w:p>
      <w:pPr>
        <w:spacing w:after="60" w:before="60"/>
      </w:pPr>
      <w:r>
        <w:t xml:space="preserve">il n'y a simplement rien entre les deux. Un </w:t>
      </w:r>
      <w:r>
        <w:rPr>
          <w:rFonts w:ascii="Consolas" w:cs="Consolas" w:eastAsia="Consolas" w:hAnsi="Consolas"/>
          <w:color w:val="8A3B12"/>
        </w:rPr>
        <w:t xml:space="preserve">grep</w:t>
      </w:r>
      <w:r>
        <w:t xml:space="preserve"> du nom de la fonction</w:t>
      </w:r>
    </w:p>
    <w:p>
      <w:pPr>
        <w:spacing w:after="60" w:before="60"/>
      </w:pPr>
      <w:r>
        <w:t xml:space="preserve">d'enregistrement aurait suffi, et c'est ce qui a fini par la trouver.</w:t>
      </w:r>
    </w:p>
    <w:p>
      <w:pPr>
        <w:spacing w:after="60" w:before="60"/>
      </w:pPr>
      <w:r>
        <w:t xml:space="preserve">Le jeton se demande </w:t>
      </w:r>
      <w:r>
        <w:rPr>
          <w:b/>
          <w:bCs/>
        </w:rPr>
        <w:t xml:space="preserve">après connexion</w:t>
      </w:r>
      <w:r>
        <w:t xml:space="preserve">, jamais avant : il se rattache à un</w:t>
      </w:r>
    </w:p>
    <w:p>
      <w:pPr>
        <w:spacing w:after="60" w:before="60"/>
      </w:pPr>
      <w:r>
        <w:t xml:space="preserve">compte, et réclamer la permission de notifier à un visiteur anonyme — avant</w:t>
      </w:r>
    </w:p>
    <w:p>
      <w:pPr>
        <w:spacing w:after="60" w:before="60"/>
      </w:pPr>
      <w:r>
        <w:t xml:space="preserve">d'avoir quoi que ce soit à lui annoncer — est la façon la plus sûre de se la</w:t>
      </w:r>
    </w:p>
    <w:p>
      <w:pPr>
        <w:spacing w:after="60" w:before="60"/>
      </w:pPr>
      <w:r>
        <w:t xml:space="preserve">faire refuser définitivement.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Un push est éphémère ; la cloche ne peut pas l'être</w:t>
      </w:r>
    </w:p>
    <w:p>
      <w:pPr>
        <w:spacing w:after="60" w:before="60"/>
      </w:pPr>
      <w:r>
        <w:t xml:space="preserve">Balayée de l'écran verrouillé, une notification n'existe plus. Le compteur de la</w:t>
      </w:r>
    </w:p>
    <w:p>
      <w:pPr>
        <w:spacing w:after="60" w:before="60"/>
      </w:pPr>
      <w:r>
        <w:t xml:space="preserve">cloche ne pouvait donc pas être tenu dans l'application : il n'aurait survécu ni</w:t>
      </w:r>
    </w:p>
    <w:p>
      <w:pPr>
        <w:spacing w:after="60" w:before="60"/>
      </w:pPr>
      <w:r>
        <w:t xml:space="preserve">à une réinstallation, ni au second téléphone du même client, et n'aurait rien su</w:t>
      </w:r>
    </w:p>
    <w:p>
      <w:pPr>
        <w:spacing w:after="60" w:before="60"/>
      </w:pPr>
      <w:r>
        <w:t xml:space="preserve">des annonces arrivées appareil éteint.</w:t>
      </w:r>
    </w:p>
    <w:p>
      <w:pPr>
        <w:spacing w:after="60" w:before="60"/>
      </w:pPr>
      <w:r>
        <w:t xml:space="preserve">Chaque envoi </w:t>
      </w:r>
      <w:r>
        <w:rPr>
          <w:b/>
          <w:bCs/>
        </w:rPr>
        <w:t xml:space="preserve">archive</w:t>
      </w:r>
      <w:r>
        <w:t xml:space="preserve"> donc le message pour ses destinataires, et la cloche lit</w:t>
      </w:r>
    </w:p>
    <w:p>
      <w:pPr>
        <w:spacing w:after="60" w:before="60"/>
      </w:pPr>
      <w:r>
        <w:t xml:space="preserve">ce compte au serveur. La pastille s'éteint à </w:t>
      </w:r>
      <w:r>
        <w:rPr>
          <w:b/>
          <w:bCs/>
        </w:rPr>
        <w:t xml:space="preserve">l'ouverture</w:t>
      </w:r>
      <w:r>
        <w:t xml:space="preserve"> de l'écran, pas à sa</w:t>
      </w:r>
    </w:p>
    <w:p>
      <w:pPr>
        <w:spacing w:after="60" w:before="60"/>
      </w:pPr>
      <w:r>
        <w:t xml:space="preserve">fermeture : le geste du client est de venir regarder, pas d'accuser réception</w:t>
      </w:r>
    </w:p>
    <w:p>
      <w:pPr>
        <w:spacing w:after="60" w:before="60"/>
      </w:pPr>
      <w:r>
        <w:t xml:space="preserve">ligne par ligne — la laisser allumée derrière lui serait faux.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rattachement d'une identité extérieure</w:t>
      </w:r>
    </w:p>
    <w:p>
      <w:pPr>
        <w:spacing w:after="60" w:before="60"/>
      </w:pPr>
      <w:r>
        <w:t xml:space="preserve">Une inscription rapide pose une question qu'un mot de passe ne pose pas : *à quel</w:t>
      </w:r>
    </w:p>
    <w:p>
      <w:pPr>
        <w:spacing w:after="60" w:before="60"/>
      </w:pPr>
      <w:r>
        <w:t xml:space="preserve">compte cette personne correspond-elle ?* L'ordre retenu, et pourquoi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Le sujet du fournisseur d'abord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sub</w:t>
      </w:r>
      <w:r>
        <w:t xml:space="preserve">). Il est stable ; l'adresse ne
</w:t>
      </w:r>
    </w:p>
    <w:p>
      <w:pPr>
        <w:spacing w:after="60" w:before="60"/>
      </w:pPr>
      <w:r>
        <w:t xml:space="preserve">l'est pas — Apple délivre une adresse relais qui peut changer.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L'adresse ensuite, et seulement si le fournisseur la CERTIFIE.</w:t>
      </w:r>
      <w:r>
        <w:t xml:space="preserve"> Elle sert à
</w:t>
      </w:r>
    </w:p>
    <w:p>
      <w:pPr>
        <w:spacing w:after="60" w:before="60"/>
      </w:pPr>
      <w:r>
        <w:t xml:space="preserve">rattacher l'inscription rapide au compte déjà ouvert par mot de passe, pour</w:t>
      </w:r>
    </w:p>
    <w:p>
      <w:pPr>
        <w:spacing w:after="60" w:before="60"/>
      </w:pPr>
      <w:r>
        <w:t xml:space="preserve">que le client n'en découvre pas un second, vide de ses commandes et de ses</w:t>
      </w:r>
    </w:p>
    <w:p>
      <w:pPr>
        <w:spacing w:after="60" w:before="60"/>
      </w:pPr>
      <w:r>
        <w:t xml:space="preserve">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La création enfin.</w:t>
      </w:r>
      <w:r>
        <w:t xml:space="preserve">
</w:t>
      </w:r>
    </w:p>
    <w:p>
      <w:pPr>
        <w:spacing w:after="60" w:before="60"/>
      </w:pPr>
      <w:r>
        <w:t xml:space="preserve">Rattacher sur une adresse non certifiée reviendrait à donner le compte d'un</w:t>
      </w:r>
    </w:p>
    <w:p>
      <w:pPr>
        <w:spacing w:after="60" w:before="60"/>
      </w:pPr>
      <w:r>
        <w:t xml:space="preserve">client à qui saurait en déclarer l'adresse. C'est précisément pour cela que</w:t>
      </w:r>
    </w:p>
    <w:p>
      <w:pPr>
        <w:spacing w:after="60" w:before="60"/>
      </w:pPr>
      <w:r>
        <w:rPr>
          <w:b/>
          <w:bCs/>
        </w:rPr>
        <w:t xml:space="preserve">Facebook n'est pas branché</w:t>
      </w:r>
      <w:r>
        <w:t xml:space="preserve"> : son jeton ne certifie pas l'adresse. Ce n'est</w:t>
      </w:r>
    </w:p>
    <w:p>
      <w:pPr>
        <w:spacing w:after="60" w:before="60"/>
      </w:pPr>
      <w:r>
        <w:t xml:space="preserve">pas un manque de temps, c'est un refus.</w:t>
      </w:r>
    </w:p>
    <w:p>
      <w:pPr>
        <w:spacing w:after="60" w:before="60"/>
      </w:pPr>
      <w:r>
        <w:t xml:space="preserve">La vérification du jeton contrôle la signature, l'émetteur, </w:t>
      </w:r>
      <w:r>
        <w:rPr>
          <w:b/>
          <w:bCs/>
        </w:rPr>
        <w:t xml:space="preserve">le destinataire</w:t>
      </w:r>
    </w:p>
    <w:p>
      <w:pPr>
        <w:spacing w:after="60" w:before="60"/>
      </w:pPr>
      <w:r>
        <w:t xml:space="preserve">et la date. Omettre le destinataire laisserait passer un jeton parfaitement</w:t>
      </w:r>
    </w:p>
    <w:p>
      <w:pPr>
        <w:spacing w:after="60" w:before="60"/>
      </w:pPr>
      <w:r>
        <w:t xml:space="preserve">valide émis pour une AUTRE application : quiconque possède un compte Apple</w:t>
      </w:r>
    </w:p>
    <w:p>
      <w:pPr>
        <w:spacing w:after="60" w:before="60"/>
      </w:pPr>
      <w:r>
        <w:t xml:space="preserve">pourrait alors se présenter avec le jeton d'un tiers. Elle passe par </w:t>
      </w:r>
      <w:r>
        <w:rPr>
          <w:rFonts w:ascii="Consolas" w:cs="Consolas" w:eastAsia="Consolas" w:hAnsi="Consolas"/>
          <w:color w:val="8A3B12"/>
        </w:rPr>
        <w:t xml:space="preserve">jose</w:t>
      </w:r>
      <w:r>
        <w:t xml:space="preserve"> et</w:t>
      </w:r>
    </w:p>
    <w:p>
      <w:pPr>
        <w:spacing w:after="60" w:before="60"/>
      </w:pPr>
      <w:r>
        <w:t xml:space="preserve">non par un décodage maison : la confusion d'algorithme (</w:t>
      </w:r>
      <w:r>
        <w:rPr>
          <w:rFonts w:ascii="Consolas" w:cs="Consolas" w:eastAsia="Consolas" w:hAnsi="Consolas"/>
          <w:color w:val="8A3B12"/>
        </w:rPr>
        <w:t xml:space="preserve">alg: none</w:t>
      </w:r>
      <w:r>
        <w:t xml:space="preserve">, ou HS256</w:t>
      </w:r>
    </w:p>
    <w:p>
      <w:pPr>
        <w:spacing w:after="60" w:before="60"/>
      </w:pPr>
      <w:r>
        <w:t xml:space="preserve">signé avec la clé publique) est la faute classique du JWT écrit à la main, et</w:t>
      </w:r>
    </w:p>
    <w:p>
      <w:pPr>
        <w:spacing w:after="60" w:before="60"/>
      </w:pPr>
      <w:r>
        <w:t xml:space="preserve">elle ne se voit pas aux tests.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jose</w:t>
      </w:r>
      <w:r>
        <w:t xml:space="preserve"> </w:t>
      </w:r>
      <w:r>
        <w:rPr>
          <w:b/>
          <w:bCs/>
        </w:rPr>
        <w:t xml:space="preserve">version 5</w:t>
      </w:r>
      <w:r>
        <w:t xml:space="preserve">, et non 6 : la 6 est distribuée en ESM seul, que le build</w:t>
      </w:r>
    </w:p>
    <w:p>
      <w:pPr>
        <w:spacing w:after="60" w:before="60"/>
      </w:pPr>
      <w:r>
        <w:t xml:space="preserve">CommonJS de Nest ne peut pas charger. Les tests l'ont dit avant la production —</w:t>
      </w:r>
    </w:p>
    <w:p>
      <w:pPr>
        <w:spacing w:after="60" w:before="60"/>
      </w:pPr>
      <w:r>
        <w:t xml:space="preserve">mais de justesse.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Une migration en échec bloque toutes les suivantes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users.id</w:t>
      </w:r>
      <w:r>
        <w:t xml:space="preserve"> est un </w:t>
      </w:r>
      <w:r>
        <w:rPr>
          <w:rFonts w:ascii="Consolas" w:cs="Consolas" w:eastAsia="Consolas" w:hAnsi="Consolas"/>
          <w:color w:val="8A3B12"/>
        </w:rPr>
        <w:t xml:space="preserve">UUID</w:t>
      </w:r>
      <w:r>
        <w:t xml:space="preserve"> dans cette base. La migration des identités déclarait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user_id</w:t>
      </w:r>
      <w:r>
        <w:t xml:space="preserve"> en </w:t>
      </w:r>
      <w:r>
        <w:rPr>
          <w:rFonts w:ascii="Consolas" w:cs="Consolas" w:eastAsia="Consolas" w:hAnsi="Consolas"/>
          <w:color w:val="8A3B12"/>
        </w:rPr>
        <w:t xml:space="preserve">TEXT</w:t>
      </w:r>
      <w:r>
        <w:t xml:space="preserve"> : Postgres refuse une clé étrangère entre deux types</w:t>
      </w:r>
    </w:p>
    <w:p>
      <w:pPr>
        <w:spacing w:after="60" w:before="60"/>
      </w:pPr>
      <w:r>
        <w:t xml:space="preserve">incompatibles.</w:t>
      </w:r>
    </w:p>
    <w:p>
      <w:pPr>
        <w:spacing w:after="60" w:before="60"/>
      </w:pPr>
      <w:r>
        <w:t xml:space="preserve">Ce qui compte n'est pas l'erreur — c'est ce qu'elle provoque :</w:t>
      </w:r>
    </w:p>
    <w:p>
      <w:pPr>
        <w:shd w:fill="F7F4F1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P3009 migrate found failed migrations in the target database,
</w:t>
      </w:r>
    </w:p>
    <w:p>
      <w:pPr>
        <w:shd w:fill="F7F4F1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new migrations will not be applied.
</w:t>
      </w:r>
    </w:p>
    <w:p>
      <w:pPr>
        <w:spacing w:after="120"/>
      </w:pPr>
    </w:p>
    <w:p>
      <w:pPr>
        <w:spacing w:after="60" w:before="60"/>
      </w:pPr>
      <w:r>
        <w:t xml:space="preserve">Prisma inscrit l'échec dans </w:t>
      </w:r>
      <w:r>
        <w:rPr>
          <w:rFonts w:ascii="Consolas" w:cs="Consolas" w:eastAsia="Consolas" w:hAnsi="Consolas"/>
          <w:color w:val="8A3B12"/>
        </w:rPr>
        <w:t xml:space="preserve">_prisma_migrations</w:t>
      </w:r>
      <w:r>
        <w:t xml:space="preserve"> et refuse </w:t>
      </w:r>
      <w:r>
        <w:rPr>
          <w:b/>
          <w:bCs/>
        </w:rPr>
        <w:t xml:space="preserve">tout</w:t>
      </w:r>
      <w:r>
        <w:t xml:space="preserve"> déploiement</w:t>
      </w:r>
    </w:p>
    <w:p>
      <w:pPr>
        <w:spacing w:after="60" w:before="60"/>
      </w:pPr>
      <w:r>
        <w:t xml:space="preserve">suivant. Le conteneur redémarrait en boucle, et l'ancienne version continuait</w:t>
      </w:r>
    </w:p>
    <w:p>
      <w:pPr>
        <w:spacing w:after="60" w:before="60"/>
      </w:pPr>
      <w:r>
        <w:t xml:space="preserve">de répondre : de l'extérieur, une route fraîchement poussée restait en 404</w:t>
      </w:r>
    </w:p>
    <w:p>
      <w:pPr>
        <w:spacing w:after="60" w:before="60"/>
      </w:pPr>
      <w:r>
        <w:t xml:space="preserve">pendant que tout semblait normal. Vingt minutes passées à guetter un</w:t>
      </w:r>
    </w:p>
    <w:p>
      <w:pPr>
        <w:spacing w:after="60" w:before="60"/>
      </w:pPr>
      <w:r>
        <w:t xml:space="preserve">déploiement qui ne pouvait pas arriver.</w:t>
      </w:r>
    </w:p>
    <w:p>
      <w:pPr>
        <w:spacing w:after="60" w:before="60"/>
      </w:pPr>
      <w:r>
        <w:rPr>
          <w:b/>
          <w:bCs/>
        </w:rPr>
        <w:t xml:space="preserve">Corriger le SQL ne suffit pas.</w:t>
      </w:r>
      <w:r>
        <w:t xml:space="preserve"> La ligne en échec reste, et continue de</w:t>
      </w:r>
    </w:p>
    <w:p>
      <w:pPr>
        <w:spacing w:after="60" w:before="60"/>
      </w:pPr>
      <w:r>
        <w:t xml:space="preserve">bloquer. Il faut la marquer annulée (</w:t>
      </w:r>
      <w:r>
        <w:rPr>
          <w:rFonts w:ascii="Consolas" w:cs="Consolas" w:eastAsia="Consolas" w:hAnsi="Consolas"/>
          <w:color w:val="8A3B12"/>
        </w:rPr>
        <w:t xml:space="preserve">prisma migrate resolve --rolled-back</w:t>
      </w:r>
      <w:r>
        <w:t xml:space="preserve">).</w:t>
      </w:r>
    </w:p>
    <w:p>
      <w:pPr>
        <w:spacing w:after="60" w:before="60"/>
      </w:pPr>
      <w:r>
        <w:t xml:space="preserve">Fait ici depuis la commande de démarrage — ligne temporaire, retirée dès le</w:t>
      </w:r>
    </w:p>
    <w:p>
      <w:pPr>
        <w:spacing w:after="60" w:before="60"/>
      </w:pPr>
      <w:r>
        <w:t xml:space="preserve">déploiement passé — pour ne pas avoir à ouvrir la base de production.</w:t>
      </w:r>
    </w:p>
    <w:p>
      <w:pPr>
        <w:spacing w:after="60" w:before="60"/>
      </w:pPr>
      <w:r>
        <w:rPr>
          <w:b/>
          <w:bCs/>
        </w:rPr>
        <w:t xml:space="preserve">La leçon opérationnelle</w:t>
      </w:r>
      <w:r>
        <w:t xml:space="preserve"> : une route poussée qui répond 404 alors que le build</w:t>
      </w:r>
    </w:p>
    <w:p>
      <w:pPr>
        <w:spacing w:after="60" w:before="60"/>
      </w:pPr>
      <w:r>
        <w:t xml:space="preserve">passe en local n'est pas un problème de route. C'est le serveur qui n'a jamais</w:t>
      </w:r>
    </w:p>
    <w:p>
      <w:pPr>
        <w:spacing w:after="60" w:before="60"/>
      </w:pPr>
      <w:r>
        <w:t xml:space="preserve">démarré. Le premier réflexe est de sonder une route déployée à la livraison</w:t>
      </w:r>
    </w:p>
    <w:p>
      <w:pPr>
        <w:spacing w:after="60" w:before="60"/>
      </w:pPr>
      <w:r>
        <w:t xml:space="preserve">PRÉCÉDENTE — si elle répond, la version en ligne est l'ancienne, et la question</w:t>
      </w:r>
    </w:p>
    <w:p>
      <w:pPr>
        <w:spacing w:after="60" w:before="60"/>
      </w:pPr>
      <w:r>
        <w:t xml:space="preserve">devient « pourquoi le démarrage échoue-t-il ? ».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32 — La cloche, et l'inscription par Apple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2026-10-11T08:55:30.100Z</dcterms:created>
  <dcterms:modified xsi:type="dcterms:W3CDTF">2026-10-11T08:55:30.100Z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