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FD4000"/>
          <w:sz w:val="22"/>
          <w:szCs w:val="22"/>
        </w:rPr>
        <w:t xml:space="preserve">PHASE 41</w:t>
      </w:r>
    </w:p>
    <w:p>
      <w:pPr>
        <w:pStyle w:val="Title"/>
        <w:spacing w:after="120"/>
      </w:pPr>
      <w:r>
        <w:rPr>
          <w:b/>
          <w:bCs/>
          <w:color w:val="241F1D"/>
        </w:rPr>
        <w:t xml:space="preserve">Phase 41 — Les clubs lisent leurs données eux-mêmes</w:t>
      </w:r>
    </w:p>
    <w:p>
      <w:pPr>
        <w:spacing w:after="200"/>
      </w:pPr>
      <w:r>
        <w:rPr>
          <w:color w:val="6B6460"/>
          <w:sz w:val="20"/>
          <w:szCs w:val="20"/>
        </w:rPr>
        <w:t xml:space="preserve">Construite le 18/09/2026</w:t>
      </w:r>
    </w:p>
    <w:p>
      <w:pPr>
        <w:pBdr>
          <w:left w:val="single" w:color="FD4000" w:sz="12" w:space="12"/>
        </w:pBdr>
        <w:spacing w:after="240" w:before="100"/>
      </w:pPr>
      <w:r>
        <w:rPr>
          <w:b/>
          <w:bCs/>
        </w:rPr>
        <w:t xml:space="preserve">Ce document est généré. </w:t>
      </w:r>
      <w:r>
        <w:t xml:space="preserve">Ne le modifiez pas : toute correction se fait dans brain/ENGINEERING_MANUAL.md, puis on relance la génération. Modifié ici, il se perdrait à la prochaine régénération — et il dirait autre chose que le code.</w:t>
      </w:r>
    </w:p>
    <w:p>
      <w:pPr>
        <w:spacing w:after="60" w:before="60"/>
      </w:pPr>
      <w:r>
        <w:t xml:space="preserve">Un club demandait « quel est le trafic de connexion sur l'application chez</w:t>
      </w:r>
    </w:p>
    <w:p>
      <w:pPr>
        <w:spacing w:after="60" w:before="60"/>
      </w:pPr>
      <w:r>
        <w:t xml:space="preserve">nous ? » et personne ne pouvait répondre : rien ne l'enregistrait. Il demandait</w:t>
      </w:r>
    </w:p>
    <w:p>
      <w:pPr>
        <w:spacing w:after="60" w:before="60"/>
      </w:pPr>
      <w:r>
        <w:t xml:space="preserve">la liste de ses clients, et il fallait que quelqu'un se connecte pour la lui</w:t>
      </w:r>
    </w:p>
    <w:p>
      <w:pPr>
        <w:spacing w:after="60" w:before="60"/>
      </w:pPr>
      <w:r>
        <w:t xml:space="preserve">envoyer. Deux manques différents, une même conséquence : le club dépendait de</w:t>
      </w:r>
    </w:p>
    <w:p>
      <w:pPr>
        <w:spacing w:after="60" w:before="60"/>
      </w:pPr>
      <w:r>
        <w:t xml:space="preserve">nous pour connaître son propre public.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Le fichier client : déduit, jamais collecté</w:t>
      </w:r>
    </w:p>
    <w:p>
      <w:pPr>
        <w:spacing w:after="60" w:before="60"/>
      </w:pPr>
      <w:r>
        <w:t xml:space="preserve">Tout vient des commandes déjà enregistrées. Un club voit qui a commandé CHEZ</w:t>
      </w:r>
    </w:p>
    <w:p>
      <w:pPr>
        <w:spacing w:after="60" w:before="60"/>
      </w:pPr>
      <w:r>
        <w:t xml:space="preserve">LUI, combien de fois, pour quel montant, depuis quand, dans quels lieux, et quel</w:t>
      </w:r>
    </w:p>
    <w:p>
      <w:pPr>
        <w:spacing w:after="60" w:before="60"/>
      </w:pPr>
      <w:r>
        <w:t xml:space="preserve">produit revient le plus. Rien de nouveau n'est demandé au client.</w:t>
      </w:r>
    </w:p>
    <w:p>
      <w:pPr>
        <w:spacing w:after="60" w:before="60"/>
      </w:pPr>
      <w:r>
        <w:t xml:space="preserve">Deux décisions structurantes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Le périmètre financier est celui de la comptabilité</w:t>
      </w:r>
      <w:r>
        <w:t xml:space="preserve"> — paiement réussi,
</w:t>
      </w:r>
    </w:p>
    <w:p>
      <w:pPr>
        <w:spacing w:after="60" w:before="60"/>
      </w:pPr>
      <w:r>
        <w:t xml:space="preserve">commande non annulée. Deux conventions différentes donneraient deux totaux</w:t>
      </w:r>
    </w:p>
    <w:p>
      <w:pPr>
        <w:spacing w:after="60" w:before="60"/>
      </w:pPr>
      <w:r>
        <w:t xml:space="preserve">pour le même client, et c'est la page affichant le plus petit qu'on croirait</w:t>
      </w:r>
    </w:p>
    <w:p>
      <w:pPr>
        <w:spacing w:after="60" w:before="60"/>
      </w:pPr>
      <w:r>
        <w:t xml:space="preserve">cassée.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L'export passe par la même fonction que l'écran.</w:t>
      </w:r>
      <w:r>
        <w:t xml:space="preserve"> Un fichier qui diverge de
</w:t>
      </w:r>
    </w:p>
    <w:p>
      <w:pPr>
        <w:spacing w:after="60" w:before="60"/>
      </w:pPr>
      <w:r>
        <w:t xml:space="preserve">ce qui est affiché fait douter des deux.</w:t>
      </w:r>
    </w:p>
    <w:p>
      <w:pPr>
        <w:spacing w:after="60" w:before="60"/>
      </w:pPr>
      <w:r>
        <w:t xml:space="preserve">L'OPÉRATEUR n'y a pas accès : il tient un comptoir, il n'a rien à faire avec les</w:t>
      </w:r>
    </w:p>
    <w:p>
      <w:pPr>
        <w:spacing w:after="60" w:before="60"/>
      </w:pPr>
      <w:r>
        <w:t xml:space="preserve">adresses de la clientèle. Le rôle MARKETING, lui, existe pour ce travail.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Le CSV : trois détails qui décident si le fichier s'ouvre</w:t>
      </w:r>
    </w:p>
    <w:p>
      <w:pPr>
        <w:spacing w:after="60" w:before="60"/>
      </w:pPr>
      <w:r>
        <w:t xml:space="preserve">Point-virgule (Excel français lit la virgule comme séparateur décimal et</w:t>
      </w:r>
    </w:p>
    <w:p>
      <w:pPr>
        <w:spacing w:after="60" w:before="60"/>
      </w:pPr>
      <w:r>
        <w:t xml:space="preserve">rangerait tout dans une colonne), marque d'ordre UTF-8 (sans elle les accents</w:t>
      </w:r>
    </w:p>
    <w:p>
      <w:pPr>
        <w:spacing w:after="60" w:before="60"/>
      </w:pPr>
      <w:r>
        <w:t xml:space="preserve">deviennent illisibles — sur un fichier de noms, c'est rédhibitoire), et fins de</w:t>
      </w:r>
    </w:p>
    <w:p>
      <w:pPr>
        <w:spacing w:after="60" w:before="60"/>
      </w:pPr>
      <w:r>
        <w:t xml:space="preserve">ligne CRLF.</w:t>
      </w:r>
    </w:p>
    <w:p>
      <w:pPr>
        <w:spacing w:after="60" w:before="60"/>
      </w:pPr>
      <w:r>
        <w:t xml:space="preserve">Un quatrième, moins visible : une cellule commençant par </w:t>
      </w:r>
      <w:r>
        <w:rPr>
          <w:rFonts w:ascii="Consolas" w:cs="Consolas" w:eastAsia="Consolas" w:hAnsi="Consolas"/>
          <w:color w:val="8A3B12"/>
        </w:rPr>
        <w:t xml:space="preserve">=</w:t>
      </w:r>
      <w:r>
        <w:t xml:space="preserve">, </w:t>
      </w:r>
      <w:r>
        <w:rPr>
          <w:rFonts w:ascii="Consolas" w:cs="Consolas" w:eastAsia="Consolas" w:hAnsi="Consolas"/>
          <w:color w:val="8A3B12"/>
        </w:rPr>
        <w:t xml:space="preserve">+</w:t>
      </w:r>
      <w:r>
        <w:t xml:space="preserve">, </w:t>
      </w:r>
      <w:r>
        <w:rPr>
          <w:rFonts w:ascii="Consolas" w:cs="Consolas" w:eastAsia="Consolas" w:hAnsi="Consolas"/>
          <w:color w:val="8A3B12"/>
        </w:rPr>
        <w:t xml:space="preserve">-</w:t>
      </w:r>
      <w:r>
        <w:t xml:space="preserve"> ou </w:t>
      </w:r>
      <w:r>
        <w:rPr>
          <w:rFonts w:ascii="Consolas" w:cs="Consolas" w:eastAsia="Consolas" w:hAnsi="Consolas"/>
          <w:color w:val="8A3B12"/>
        </w:rPr>
        <w:t xml:space="preserve">@</w:t>
      </w:r>
    </w:p>
    <w:p>
      <w:pPr>
        <w:spacing w:after="60" w:before="60"/>
      </w:pPr>
      <w:r>
        <w:t xml:space="preserve">est EXÉCUTÉE à l'ouverture par Excel. Comme ces fichiers portent des noms</w:t>
      </w:r>
    </w:p>
    <w:p>
      <w:pPr>
        <w:spacing w:after="60" w:before="60"/>
      </w:pPr>
      <w:r>
        <w:t xml:space="preserve">choisis par les clients eux-mêmes, la valeur est préfixée d'une apostrophe.</w:t>
      </w:r>
    </w:p>
    <w:p>
      <w:pPr>
        <w:spacing w:after="60" w:before="60"/>
      </w:pPr>
      <w:r>
        <w:t xml:space="preserve">C'est une injection à part entière — elle ne traverse pas notre code, elle</w:t>
      </w:r>
    </w:p>
    <w:p>
      <w:pPr>
        <w:spacing w:after="60" w:before="60"/>
      </w:pPr>
      <w:r>
        <w:t xml:space="preserve">s'exécute chez celui qui ouvre le fichier.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La fréquentation : ce que les commandes ne voient pas</w:t>
      </w:r>
    </w:p>
    <w:p>
      <w:pPr>
        <w:spacing w:after="60" w:before="60"/>
      </w:pPr>
      <w:r>
        <w:t xml:space="preserve">Une commande ne connaît que la seconde moitié de l'histoire. Le visiteur qui</w:t>
      </w:r>
    </w:p>
    <w:p>
      <w:pPr>
        <w:spacing w:after="60" w:before="60"/>
      </w:pPr>
      <w:r>
        <w:t xml:space="preserve">regarde la carte et repart sans rien prendre n'existe nulle part — or c'est</w:t>
      </w:r>
    </w:p>
    <w:p>
      <w:pPr>
        <w:spacing w:after="60" w:before="60"/>
      </w:pPr>
      <w:r>
        <w:t xml:space="preserve">précisément lui qui intéresse un club.</w:t>
      </w:r>
    </w:p>
    <w:p>
      <w:pPr>
        <w:spacing w:after="60" w:before="60"/>
      </w:pPr>
      <w:r>
        <w:t xml:space="preserve">Une ligne par VISITEUR, par TYPE de visite, par PÉRIMÈTRE et par fenêtre de</w:t>
      </w:r>
    </w:p>
    <w:p>
      <w:pPr>
        <w:spacing w:after="60" w:before="60"/>
      </w:pPr>
      <w:r>
        <w:t xml:space="preserve">trente minutes. Dix allers-retours entre la carte et le panier sont UNE visite,</w:t>
      </w:r>
    </w:p>
    <w:p>
      <w:pPr>
        <w:spacing w:after="60" w:before="60"/>
      </w:pPr>
      <w:r>
        <w:t xml:space="preserve">pas dix : c'est ce qui rend le chiffre comparable d'un match à l'autre, et ce</w:t>
      </w:r>
    </w:p>
    <w:p>
      <w:pPr>
        <w:spacing w:after="60" w:before="60"/>
      </w:pPr>
      <w:r>
        <w:t xml:space="preserve">qui empêche la table d'enfler. Le mécanisme n'est pas dans le code mais dans un</w:t>
      </w:r>
    </w:p>
    <w:p>
      <w:pPr>
        <w:spacing w:after="60" w:before="60"/>
      </w:pPr>
      <w:r>
        <w:t xml:space="preserve">index unique PostgreSQL — vérifié sur base réelle, dix appels donnent une ligne</w:t>
      </w:r>
    </w:p>
    <w:p>
      <w:pPr>
        <w:spacing w:after="60" w:before="60"/>
      </w:pPr>
      <w:r>
        <w:t xml:space="preserve">à dix passages.</w:t>
      </w:r>
    </w:p>
    <w:p>
      <w:pPr>
        <w:spacing w:after="60" w:before="60"/>
      </w:pPr>
      <w:r>
        <w:t xml:space="preserve">Trois garde-fous, parce que la route d'écriture est ouverte aux visiteurs NON</w:t>
      </w:r>
    </w:p>
    <w:p>
      <w:pPr>
        <w:spacing w:after="60" w:before="60"/>
      </w:pPr>
      <w:r>
        <w:t xml:space="preserve">connectés (c'est tout son intérêt)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le club est </w:t>
      </w:r>
      <w:r>
        <w:rPr>
          <w:b/>
          <w:bCs/>
        </w:rPr>
        <w:t xml:space="preserve">déduit</w:t>
      </w:r>
      <w:r>
        <w:t xml:space="preserve"> du lieu ou de l'événement, relus en base — l'app ne
</w:t>
      </w:r>
    </w:p>
    <w:p>
      <w:pPr>
        <w:spacing w:after="60" w:before="60"/>
      </w:pPr>
      <w:r>
        <w:t xml:space="preserve">peut pas attribuer des visites à qui elle veut 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un lieu inconnu n'écrit </w:t>
      </w:r>
      <w:r>
        <w:rPr>
          <w:b/>
          <w:bCs/>
        </w:rPr>
        <w:t xml:space="preserve">rien</w:t>
      </w:r>
      <w:r>
        <w:t xml:space="preserve"> ;
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l'échec est </w:t>
      </w:r>
      <w:r>
        <w:rPr>
          <w:b/>
          <w:bCs/>
        </w:rPr>
        <w:t xml:space="preserve">silencieux</w:t>
      </w:r>
      <w:r>
        <w:t xml:space="preserve"> : une mesure d'audience ne doit jamais empêcher un
</w:t>
      </w:r>
    </w:p>
    <w:p>
      <w:pPr>
        <w:spacing w:after="60" w:before="60"/>
      </w:pPr>
      <w:r>
        <w:t xml:space="preserve">client de commander.</w:t>
      </w:r>
    </w:p>
    <w:p>
      <w:pPr>
        <w:spacing w:after="60" w:before="60"/>
      </w:pPr>
      <w:r>
        <w:t xml:space="preserve">Côté application, l'appel ne passe pas par le client HTTP habituel : une</w:t>
      </w:r>
    </w:p>
    <w:p>
      <w:pPr>
        <w:spacing w:after="60" w:before="60"/>
      </w:pPr>
      <w:r>
        <w:t xml:space="preserve">statistique ne doit JAMAIS déclencher un renouvellement de session. Le jeton de</w:t>
      </w:r>
    </w:p>
    <w:p>
      <w:pPr>
        <w:spacing w:after="60" w:before="60"/>
      </w:pPr>
      <w:r>
        <w:t xml:space="preserve">renouvellement est à usage unique, et le dépenser pour une mesure risquerait la</w:t>
      </w:r>
    </w:p>
    <w:p>
      <w:pPr>
        <w:spacing w:after="60" w:before="60"/>
      </w:pPr>
      <w:r>
        <w:t xml:space="preserve">session d'un client en train de payer. Jeton expiré ⇒ visite comptée comme</w:t>
      </w:r>
    </w:p>
    <w:p>
      <w:pPr>
        <w:spacing w:after="60" w:before="60"/>
      </w:pPr>
      <w:r>
        <w:t xml:space="preserve">anonyme, et c'est très bien.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La limite, écrite à l'écran</w:t>
      </w:r>
    </w:p>
    <w:p>
      <w:pPr>
        <w:spacing w:after="60" w:before="60"/>
      </w:pPr>
      <w:r>
        <w:t xml:space="preserve">La mesure repose sur un identifiant d'INSTALLATION que l'application fournit</w:t>
      </w:r>
    </w:p>
    <w:p>
      <w:pPr>
        <w:spacing w:after="60" w:before="60"/>
      </w:pPr>
      <w:r>
        <w:t xml:space="preserve">elle-même. Elle compte donc des appareils, pas des personnes ; une</w:t>
      </w:r>
    </w:p>
    <w:p>
      <w:pPr>
        <w:spacing w:after="60" w:before="60"/>
      </w:pPr>
      <w:r>
        <w:t xml:space="preserve">réinstallation compte double ; et rien n'empêcherait de fabriquer de fausses</w:t>
      </w:r>
    </w:p>
    <w:p>
      <w:pPr>
        <w:spacing w:after="60" w:before="60"/>
      </w:pPr>
      <w:r>
        <w:t xml:space="preserve">visites. Ce sont des ordres de grandeur d'audience, pas des chiffres certifiés</w:t>
      </w:r>
    </w:p>
    <w:p>
      <w:pPr>
        <w:spacing w:after="60" w:before="60"/>
      </w:pPr>
      <w:r>
        <w:t xml:space="preserve">comme l'est le chiffre d'affaires. La page le dit, sous les compteurs — un</w:t>
      </w:r>
    </w:p>
    <w:p>
      <w:pPr>
        <w:spacing w:after="60" w:before="60"/>
      </w:pPr>
      <w:r>
        <w:t xml:space="preserve">chiffre dont on tait les limites finit toujours par être cité comme une preuve.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Ce qui n'a PAS été fait, et pourquoi</w:t>
      </w:r>
    </w:p>
    <w:p>
      <w:pPr>
        <w:spacing w:after="60" w:before="60"/>
      </w:pPr>
      <w:r>
        <w:t xml:space="preserve">L'envoi de campagnes publicitaires à partir de ces segments. La prospection par</w:t>
      </w:r>
    </w:p>
    <w:p>
      <w:pPr>
        <w:spacing w:after="60" w:before="60"/>
      </w:pPr>
      <w:r>
        <w:t xml:space="preserve">e-mail vers des particuliers demande un accord préalable, et commander à un</w:t>
      </w:r>
    </w:p>
    <w:p>
      <w:pPr>
        <w:spacing w:after="60" w:before="60"/>
      </w:pPr>
      <w:r>
        <w:t xml:space="preserve">stand n'est pas un accord. Le jour où ce sujet reviendra, il faudra une case</w:t>
      </w:r>
    </w:p>
    <w:p>
      <w:pPr>
        <w:spacing w:after="60" w:before="60"/>
      </w:pPr>
      <w:r>
        <w:t xml:space="preserve">d'accord horodatée, un export qui la respecte, et un moyen de se désinscrire</w:t>
      </w:r>
    </w:p>
    <w:p>
      <w:pPr>
        <w:spacing w:after="60" w:before="60"/>
      </w:pPr>
      <w:r>
        <w:t xml:space="preserve">dans chaque message.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580"/>
        <w:sz w:val="16"/>
        <w:szCs w:val="16"/>
      </w:rPr>
      <w:t xml:space="preserve">Document GÉNÉRÉ le </w:t>
    </w:r>
    <w:r>
      <w:rPr>
        <w:color w:val="8A8580"/>
        <w:sz w:val="16"/>
        <w:szCs w:val="16"/>
      </w:rPr>
      <w:t xml:space="preserve">11 octobre 2026</w:t>
    </w:r>
    <w:r>
      <w:rPr>
        <w:color w:val="8A8580"/>
        <w:sz w:val="16"/>
        <w:szCs w:val="16"/>
      </w:rPr>
      <w:t xml:space="preserve">  —  page </w:t>
    </w:r>
    <w:r>
      <w:rPr>
        <w:color w:val="8A85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8580"/>
        <w:sz w:val="18"/>
        <w:szCs w:val="18"/>
      </w:rPr>
      <w:t xml:space="preserve">BREAK EAT — manuel d’ingénierie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41 — Les clubs lisent leurs données eux-mêmes</dc:title>
  <dc:creator>Break Eat</dc:creator>
  <dc:description>Généré depuis brain/ENGINEERING_MANUAL.md le 11 octobre 2026</dc:description>
  <cp:lastModifiedBy>Un-named</cp:lastModifiedBy>
  <cp:revision>1</cp:revision>
  <dcterms:created xsi:type="dcterms:W3CDTF">2026-10-11T08:55:30.325Z</dcterms:created>
  <dcterms:modified xsi:type="dcterms:W3CDTF">2026-10-11T08:55:30.325Z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