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FD4000"/>
          <w:sz w:val="22"/>
          <w:szCs w:val="22"/>
        </w:rPr>
        <w:t xml:space="preserve">PHASE 46</w:t>
      </w:r>
    </w:p>
    <w:p>
      <w:pPr>
        <w:pStyle w:val="Title"/>
        <w:spacing w:after="120"/>
      </w:pPr>
      <w:r>
        <w:rPr>
          <w:b/>
          <w:bCs/>
          <w:color w:val="241F1D"/>
        </w:rPr>
        <w:t xml:space="preserve">Phase 46 — Le contrat signé, lisible sans le télécharger</w:t>
      </w:r>
    </w:p>
    <w:p>
      <w:pPr>
        <w:spacing w:after="200"/>
      </w:pPr>
      <w:r>
        <w:rPr>
          <w:color w:val="6B6460"/>
          <w:sz w:val="20"/>
          <w:szCs w:val="20"/>
        </w:rPr>
        <w:t xml:space="preserve">Construite le 19/09/2026</w:t>
      </w:r>
    </w:p>
    <w:p>
      <w:pPr>
        <w:pBdr>
          <w:left w:val="single" w:color="FD4000" w:sz="12" w:space="12"/>
        </w:pBdr>
        <w:spacing w:after="240" w:before="100"/>
      </w:pPr>
      <w:r>
        <w:rPr>
          <w:b/>
          <w:bCs/>
        </w:rPr>
        <w:t xml:space="preserve">Ce document est généré. </w:t>
      </w:r>
      <w:r>
        <w:t xml:space="preserve">Ne le modifiez pas : toute correction se fait dans brain/ENGINEERING_MANUAL.md, puis on relance la génération. Modifié ici, il se perdrait à la prochaine régénération — et il dirait autre chose que le code.</w:t>
      </w:r>
    </w:p>
    <w:p>
      <w:pPr>
        <w:pStyle w:val="Heading2"/>
        <w:spacing w:after="120" w:before="280"/>
      </w:pPr>
      <w:r>
        <w:rPr>
          <w:b/>
          <w:bCs/>
          <w:color w:val="241F1D"/>
        </w:rPr>
        <w:t xml:space="preserve">Une section « Documentation » dans le tableau de bord</w:t>
      </w:r>
    </w:p>
    <w:p>
      <w:pPr>
        <w:spacing w:after="60" w:before="60"/>
      </w:pPr>
      <w:r>
        <w:t xml:space="preserve">Le contrat entre Break Eat et le club vivait dans une boîte mail. Le dashboard</w:t>
      </w:r>
    </w:p>
    <w:p>
      <w:pPr>
        <w:spacing w:after="60" w:before="60"/>
      </w:pPr>
      <w:r>
        <w:t xml:space="preserve">manager porte désormais une section </w:t>
      </w:r>
      <w:r>
        <w:rPr>
          <w:b/>
          <w:bCs/>
        </w:rPr>
        <w:t xml:space="preserve">Documentation</w:t>
      </w:r>
      <w:r>
        <w:t xml:space="preserve"> : on y dépose des PDF, on</w:t>
      </w:r>
    </w:p>
    <w:p>
      <w:pPr>
        <w:spacing w:after="60" w:before="60"/>
      </w:pPr>
      <w:r>
        <w:t xml:space="preserve">les relit </w:t>
      </w:r>
      <w:r>
        <w:rPr>
          <w:b/>
          <w:bCs/>
        </w:rPr>
        <w:t xml:space="preserve">dans la page</w:t>
      </w:r>
      <w:r>
        <w:t xml:space="preserve">, on en garde plusieurs, on en supprime.</w:t>
      </w:r>
    </w:p>
    <w:p>
      <w:pPr>
        <w:spacing w:after="60" w:before="60"/>
      </w:pPr>
      <w:r>
        <w:t xml:space="preserve">Lire sans télécharger n'est pas un détail : un document qu'il faut d'abord</w:t>
      </w:r>
    </w:p>
    <w:p>
      <w:pPr>
        <w:spacing w:after="60" w:before="60"/>
      </w:pPr>
      <w:r>
        <w:t xml:space="preserve">enregistrer sur un bureau pour le relire finit par ne plus être relu.</w:t>
      </w:r>
    </w:p>
    <w:p>
      <w:pPr>
        <w:pStyle w:val="Heading2"/>
        <w:spacing w:after="120" w:before="280"/>
      </w:pPr>
      <w:r>
        <w:rPr>
          <w:b/>
          <w:bCs/>
          <w:color w:val="241F1D"/>
        </w:rPr>
        <w:t xml:space="preserve">Le contenu vit dans la base, et c'est assumé</w:t>
      </w:r>
    </w:p>
    <w:p>
      <w:pPr>
        <w:spacing w:after="60" w:before="60"/>
      </w:pPr>
      <w:r>
        <w:rPr>
          <w:rFonts w:ascii="Consolas" w:cs="Consolas" w:eastAsia="Consolas" w:hAnsi="Consolas"/>
          <w:color w:val="8A3B12"/>
        </w:rPr>
        <w:t xml:space="preserve">documents.content</w:t>
      </w:r>
      <w:r>
        <w:t xml:space="preserve"> est un </w:t>
      </w:r>
      <w:r>
        <w:rPr>
          <w:rFonts w:ascii="Consolas" w:cs="Consolas" w:eastAsia="Consolas" w:hAnsi="Consolas"/>
          <w:color w:val="8A3B12"/>
        </w:rPr>
        <w:t xml:space="preserve">BYTEA</w:t>
      </w:r>
      <w:r>
        <w:t xml:space="preserve">. L'alternative — un stockage objet —</w:t>
      </w:r>
    </w:p>
    <w:p>
      <w:pPr>
        <w:spacing w:after="60" w:before="60"/>
      </w:pPr>
      <w:r>
        <w:t xml:space="preserve">demanderait des identifiants que personne n'a posés, et bloquerait la</w:t>
      </w:r>
    </w:p>
    <w:p>
      <w:pPr>
        <w:spacing w:after="60" w:before="60"/>
      </w:pPr>
      <w:r>
        <w:t xml:space="preserve">fonctionnalité sur une inscription chez un hébergeur. Ces documents sont peu</w:t>
      </w:r>
    </w:p>
    <w:p>
      <w:pPr>
        <w:spacing w:after="60" w:before="60"/>
      </w:pPr>
      <w:r>
        <w:t xml:space="preserve">nombreux (un contrat par club), petits, et lus rarement.</w:t>
      </w:r>
    </w:p>
    <w:p>
      <w:pPr>
        <w:spacing w:after="60" w:before="60"/>
      </w:pPr>
      <w:r>
        <w:t xml:space="preserve">Ce que ça simplifie, et qui compte pour un CONTRAT : **aucune adresse</w:t>
      </w:r>
    </w:p>
    <w:p>
      <w:pPr>
        <w:spacing w:after="60" w:before="60"/>
      </w:pPr>
      <w:r>
        <w:t xml:space="preserve">publique**. La lecture passe par la même authentification que le reste, sans</w:t>
      </w:r>
    </w:p>
    <w:p>
      <w:pPr>
        <w:spacing w:after="60" w:before="60"/>
      </w:pPr>
      <w:r>
        <w:t xml:space="preserve">lien signé à faire expirer, rien à deviner. Le jour où le volume l'exigera,</w:t>
      </w:r>
    </w:p>
    <w:p>
      <w:pPr>
        <w:spacing w:after="60" w:before="60"/>
      </w:pPr>
      <w:r>
        <w:t xml:space="preserve">déplacer le contenu vers un stockage objet ne touchera qu'un service.</w:t>
      </w:r>
    </w:p>
    <w:p>
      <w:pPr>
        <w:pStyle w:val="Heading2"/>
        <w:spacing w:after="120" w:before="280"/>
      </w:pPr>
      <w:r>
        <w:rPr>
          <w:b/>
          <w:bCs/>
          <w:color w:val="241F1D"/>
        </w:rPr>
        <w:t xml:space="preserve">Trois garde-fous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</w:rPr>
        <w:t xml:space="preserve">Le type est vérifié sur le CONTENU</w:t>
      </w:r>
      <w:r>
        <w:t xml:space="preserve">, pas sur ce que le navigateur annonce :
</w:t>
      </w:r>
    </w:p>
    <w:p>
      <w:pPr>
        <w:spacing w:after="60" w:before="60"/>
      </w:pPr>
      <w:r>
        <w:t xml:space="preserve">un vrai PDF commence par </w:t>
      </w:r>
      <w:r>
        <w:rPr>
          <w:rFonts w:ascii="Consolas" w:cs="Consolas" w:eastAsia="Consolas" w:hAnsi="Consolas"/>
          <w:color w:val="8A3B12"/>
        </w:rPr>
        <w:t xml:space="preserve">%PDF-</w:t>
      </w:r>
      <w:r>
        <w:t xml:space="preserve">. L'en-tête de type se change en une ligne,</w:t>
      </w:r>
    </w:p>
    <w:p>
      <w:pPr>
        <w:spacing w:after="60" w:before="60"/>
      </w:pPr>
      <w:r>
        <w:t xml:space="preserve">pas les premiers octets d'un fichier.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</w:rPr>
        <w:t xml:space="preserve">La borne de 10 Mo est posée deux fois</w:t>
      </w:r>
      <w:r>
        <w:t xml:space="preserve"> : dans l'intercepteur, qui arrête le
</w:t>
      </w:r>
    </w:p>
    <w:p>
      <w:pPr>
        <w:spacing w:after="60" w:before="60"/>
      </w:pPr>
      <w:r>
        <w:t xml:space="preserve">téléversement avant qu'il ne traverse le réseau, et dans la base</w:t>
      </w:r>
    </w:p>
    <w:p>
      <w:pPr>
        <w:spacing w:after="60" w:before="60"/>
      </w:pPr>
      <w:r>
        <w:t xml:space="preserve">(</w:t>
      </w:r>
      <w:r>
        <w:rPr>
          <w:rFonts w:ascii="Consolas" w:cs="Consolas" w:eastAsia="Consolas" w:hAnsi="Consolas"/>
          <w:color w:val="8A3B12"/>
        </w:rPr>
        <w:t xml:space="preserve">documents_taille_raisonnable</w:t>
      </w:r>
      <w:r>
        <w:t xml:space="preserve">), pour le jour où une route oublierait.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</w:rPr>
        <w:t xml:space="preserve">Le filtre porte sur le document ET sur le club.</w:t>
      </w:r>
      <w:r>
        <w:t xml:space="preserve"> </w:t>
      </w:r>
      <w:r>
        <w:rPr>
          <w:rFonts w:ascii="Consolas" w:cs="Consolas" w:eastAsia="Consolas" w:hAnsi="Consolas"/>
          <w:color w:val="8A3B12"/>
        </w:rPr>
        <w:t xml:space="preserve">findFirst</w:t>
      </w:r>
      <w:r>
        <w:t xml:space="preserve"> avec
</w:t>
      </w:r>
    </w:p>
    <w:p>
      <w:pPr>
        <w:spacing w:after="60" w:before="60"/>
      </w:pPr>
      <w:r>
        <w:t xml:space="preserve">l'organisation, jamais </w:t>
      </w:r>
      <w:r>
        <w:rPr>
          <w:rFonts w:ascii="Consolas" w:cs="Consolas" w:eastAsia="Consolas" w:hAnsi="Consolas"/>
          <w:color w:val="8A3B12"/>
        </w:rPr>
        <w:t xml:space="preserve">findUnique</w:t>
      </w:r>
      <w:r>
        <w:t xml:space="preserve"> sur l'identifiant seul : sinon, connaître</w:t>
      </w:r>
    </w:p>
    <w:p>
      <w:pPr>
        <w:spacing w:after="60" w:before="60"/>
      </w:pPr>
      <w:r>
        <w:t xml:space="preserve">un identifiant suffirait à lire le contrat d'un autre club.</w:t>
      </w:r>
    </w:p>
    <w:p>
      <w:pPr>
        <w:spacing w:after="60" w:before="60"/>
      </w:pPr>
      <w:r>
        <w:t xml:space="preserve">Réservé aux rôles de DIRECTION (</w:t>
      </w:r>
      <w:r>
        <w:rPr>
          <w:rFonts w:ascii="Consolas" w:cs="Consolas" w:eastAsia="Consolas" w:hAnsi="Consolas"/>
          <w:color w:val="8A3B12"/>
        </w:rPr>
        <w:t xml:space="preserve">MANAGE_ROLES</w:t>
      </w:r>
      <w:r>
        <w:t xml:space="preserve">) : un contrat ne regarde ni le</w:t>
      </w:r>
    </w:p>
    <w:p>
      <w:pPr>
        <w:spacing w:after="60" w:before="60"/>
      </w:pPr>
      <w:r>
        <w:t xml:space="preserve">comptoir ni l'équipe marketing.</w:t>
      </w:r>
    </w:p>
    <w:p>
      <w:pPr>
        <w:pStyle w:val="Heading2"/>
        <w:spacing w:after="120" w:before="280"/>
      </w:pPr>
      <w:r>
        <w:rPr>
          <w:b/>
          <w:bCs/>
          <w:color w:val="241F1D"/>
        </w:rPr>
        <w:t xml:space="preserve">Un iframe ne sait pas poser un en-tête</w:t>
      </w:r>
    </w:p>
    <w:p>
      <w:pPr>
        <w:spacing w:after="60" w:before="60"/>
      </w:pPr>
      <w:r>
        <w:t xml:space="preserve">L'aperçu ne peut pas être un simple </w:t>
      </w:r>
      <w:r>
        <w:rPr>
          <w:rFonts w:ascii="Consolas" w:cs="Consolas" w:eastAsia="Consolas" w:hAnsi="Consolas"/>
          <w:color w:val="8A3B12"/>
        </w:rPr>
        <w:t xml:space="preserve">&lt;iframe src="…/fichier"&gt;</w:t>
      </w:r>
      <w:r>
        <w:t xml:space="preserve"> : le jeton voyage</w:t>
      </w:r>
    </w:p>
    <w:p>
      <w:pPr>
        <w:spacing w:after="60" w:before="60"/>
      </w:pPr>
      <w:r>
        <w:t xml:space="preserve">dans un EN-TÊTE, et un iframe n'en pose pas. L'app lit donc le fichier</w:t>
      </w:r>
    </w:p>
    <w:p>
      <w:pPr>
        <w:spacing w:after="60" w:before="60"/>
      </w:pPr>
      <w:r>
        <w:t xml:space="preserve">elle-même, le remet au navigateur comme objet local, et </w:t>
      </w:r>
      <w:r>
        <w:rPr>
          <w:b/>
          <w:bCs/>
        </w:rPr>
        <w:t xml:space="preserve">révoque</w:t>
      </w:r>
      <w:r>
        <w:t xml:space="preserve"> l'adresse à</w:t>
      </w:r>
    </w:p>
    <w:p>
      <w:pPr>
        <w:spacing w:after="60" w:before="60"/>
      </w:pPr>
      <w:r>
        <w:t xml:space="preserve">la fermeture — sinon le PDF reste en mémoire tant que l'onglet est ouvert.</w:t>
      </w:r>
    </w:p>
    <w:p>
      <w:pPr>
        <w:spacing w:after="60" w:before="60"/>
      </w:pPr>
      <w:r>
        <w:t xml:space="preserve">Huit essais sur base réelle, dont le contenu rendu </w:t>
      </w:r>
      <w:r>
        <w:rPr>
          <w:b/>
          <w:bCs/>
        </w:rPr>
        <w:t xml:space="preserve">octet pour octet</w:t>
      </w:r>
      <w:r>
        <w:t xml:space="preserve"> : un</w:t>
      </w:r>
    </w:p>
    <w:p>
      <w:pPr>
        <w:spacing w:after="60" w:before="60"/>
      </w:pPr>
      <w:r>
        <w:t xml:space="preserve">contrat qui revient abîmé ne vaut rien.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A8580"/>
        <w:sz w:val="16"/>
        <w:szCs w:val="16"/>
      </w:rPr>
      <w:t xml:space="preserve">Document GÉNÉRÉ le </w:t>
    </w:r>
    <w:r>
      <w:rPr>
        <w:color w:val="8A8580"/>
        <w:sz w:val="16"/>
        <w:szCs w:val="16"/>
      </w:rPr>
      <w:t xml:space="preserve">19 octobre 2026</w:t>
    </w:r>
    <w:r>
      <w:rPr>
        <w:color w:val="8A8580"/>
        <w:sz w:val="16"/>
        <w:szCs w:val="16"/>
      </w:rPr>
      <w:t xml:space="preserve">  —  page </w:t>
    </w:r>
    <w:r>
      <w:rPr>
        <w:color w:val="8A85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A8580"/>
        <w:sz w:val="18"/>
        <w:szCs w:val="18"/>
      </w:rPr>
      <w:t xml:space="preserve">BREAK EAT — manuel d’ingénierie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 46 — Le contrat signé, lisible sans le télécharger</dc:title>
  <dc:creator>Break Eat</dc:creator>
  <dc:description>Généré depuis brain/ENGINEERING_MANUAL.md le 19 octobre 2026</dc:description>
  <cp:lastModifiedBy>Un-named</cp:lastModifiedBy>
  <cp:revision>1</cp:revision>
  <dcterms:created xsi:type="dcterms:W3CDTF">2026-10-19T14:17:05.782Z</dcterms:created>
  <dcterms:modified xsi:type="dcterms:W3CDTF">2026-10-19T14:17:05.782Z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