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after="240"/>
        <w:jc w:val="left"/>
      </w:pPr>
      <w:r>
        <w:rPr>
          <w:rFonts w:ascii="Aptos" w:hAnsi="Aptos"/>
          <w:b/>
          <w:i w:val="0"/>
          <w:color w:val="000000"/>
          <w:sz w:val="50"/>
        </w:rPr>
        <w:t>Dossier d audit technique Break Eat</w:t>
      </w:r>
    </w:p>
    <w:p>
      <w:pPr>
        <w:spacing w:after="560"/>
      </w:pPr>
      <w:r>
        <w:rPr>
          <w:rFonts w:ascii="Aptos" w:hAnsi="Aptos"/>
          <w:b w:val="0"/>
          <w:i w:val="0"/>
          <w:color w:val="17365D"/>
          <w:sz w:val="28"/>
        </w:rPr>
        <w:t>Synthèse des problèmes corrigés et des points à revoir avant exploitation</w:t>
      </w:r>
    </w:p>
    <w:p>
      <w:pPr>
        <w:spacing w:after="80"/>
      </w:pPr>
      <w:r>
        <w:rPr>
          <w:rFonts w:ascii="Aptos" w:hAnsi="Aptos"/>
          <w:b/>
          <w:i w:val="0"/>
          <w:color w:val="17365D"/>
          <w:sz w:val="20"/>
        </w:rPr>
        <w:t xml:space="preserve">Date  </w:t>
      </w:r>
      <w:r>
        <w:rPr>
          <w:rFonts w:ascii="Aptos" w:hAnsi="Aptos"/>
          <w:b w:val="0"/>
          <w:i w:val="0"/>
          <w:color w:val="1F2933"/>
          <w:sz w:val="20"/>
        </w:rPr>
        <w:t>04 octobre 2026</w:t>
      </w:r>
    </w:p>
    <w:p>
      <w:pPr>
        <w:spacing w:after="80"/>
      </w:pPr>
      <w:r>
        <w:rPr>
          <w:rFonts w:ascii="Aptos" w:hAnsi="Aptos"/>
          <w:b/>
          <w:i w:val="0"/>
          <w:color w:val="17365D"/>
          <w:sz w:val="20"/>
        </w:rPr>
        <w:t xml:space="preserve">Destinataire  </w:t>
      </w:r>
      <w:r>
        <w:rPr>
          <w:rFonts w:ascii="Aptos" w:hAnsi="Aptos"/>
          <w:b w:val="0"/>
          <w:i w:val="0"/>
          <w:color w:val="1F2933"/>
          <w:sz w:val="20"/>
        </w:rPr>
        <w:t>Équipe Cloud Code</w:t>
      </w:r>
    </w:p>
    <w:p>
      <w:pPr>
        <w:spacing w:after="80"/>
      </w:pPr>
      <w:r>
        <w:rPr>
          <w:rFonts w:ascii="Aptos" w:hAnsi="Aptos"/>
          <w:b/>
          <w:i w:val="0"/>
          <w:color w:val="17365D"/>
          <w:sz w:val="20"/>
        </w:rPr>
        <w:t xml:space="preserve">Périmètre  </w:t>
      </w:r>
      <w:r>
        <w:rPr>
          <w:rFonts w:ascii="Aptos" w:hAnsi="Aptos"/>
          <w:b w:val="0"/>
          <w:i w:val="0"/>
          <w:color w:val="1F2933"/>
          <w:sz w:val="20"/>
        </w:rPr>
        <w:t>Dépôt complet, phases 1 à 55, code backend et applications, tests, CI et documentation</w:t>
      </w:r>
    </w:p>
    <w:p>
      <w:pPr>
        <w:spacing w:after="160"/>
      </w:pPr>
    </w:p>
    <w:p>
      <w:pPr>
        <w:spacing w:before="80" w:after="160" w:line="259" w:lineRule="auto"/>
        <w:ind w:left="230" w:right="230"/>
        <w:shd w:fill="EAF4EA"/>
      </w:pPr>
      <w:r>
        <w:rPr>
          <w:rFonts w:ascii="Aptos" w:hAnsi="Aptos"/>
          <w:b/>
          <w:i w:val="0"/>
          <w:color w:val="1F2933"/>
          <w:sz w:val="19"/>
        </w:rPr>
        <w:t xml:space="preserve">Conclusion actuelle. </w:t>
      </w:r>
      <w:r>
        <w:rPr>
          <w:rFonts w:ascii="Aptos" w:hAnsi="Aptos"/>
          <w:b w:val="0"/>
          <w:i w:val="0"/>
          <w:color w:val="1F2933"/>
          <w:sz w:val="19"/>
        </w:rPr>
        <w:t>Les 5 défauts P1, les 9 défauts P2 et les 3 défauts détectés lors du second passage d’audit sont documentés comme corrigés dans les commits récents. Les tests d’intégration sont maintenant exécutés par la CI. Il reste cependant des validations de production, de vrais appareils et de couverture front à réaliser avant de considérer l’ensemble comme totalement éprouvé.</w:t>
      </w:r>
    </w:p>
    <w:p>
      <w:pPr>
        <w:spacing w:after="100" w:line="259" w:lineRule="auto"/>
      </w:pPr>
      <w:r>
        <w:rPr>
          <w:rFonts w:ascii="Aptos" w:hAnsi="Aptos"/>
          <w:b w:val="0"/>
          <w:i w:val="0"/>
          <w:color w:val="1F2933"/>
          <w:sz w:val="19"/>
        </w:rPr>
        <w:t>Ce dossier est destiné à être transmis à Cloud Code. Il sépare les problèmes déjà corrigés des sujets encore ouverts afin d’éviter de retraiter d’anciens défauts comme s’ils étaient toujours présents.</w:t>
      </w:r>
    </w:p>
    <w:p>
      <w:r>
        <w:br w:type="page"/>
      </w:r>
    </w:p>
    <w:p>
      <w:pPr>
        <w:pStyle w:val="Heading1"/>
        <w:keepNext/>
        <w:spacing w:before="240" w:after="100"/>
      </w:pPr>
      <w:r>
        <w:rPr>
          <w:rFonts w:ascii="Aptos" w:hAnsi="Aptos"/>
          <w:b/>
          <w:i w:val="0"/>
          <w:color w:val="000000"/>
          <w:sz w:val="30"/>
        </w:rPr>
        <w:t>1 Synthèse exécutive</w:t>
      </w:r>
    </w:p>
    <w:p>
      <w:pPr>
        <w:spacing w:after="100" w:line="259" w:lineRule="auto"/>
      </w:pPr>
      <w:r>
        <w:rPr>
          <w:rFonts w:ascii="Aptos" w:hAnsi="Aptos"/>
          <w:b w:val="0"/>
          <w:i w:val="0"/>
          <w:color w:val="1F2933"/>
          <w:sz w:val="19"/>
        </w:rPr>
        <w:t>Le projet est désormais documenté jusqu’à la phase 55. Le dossier historique `phases de DEV` contient les 14 premières phases écrites avant construction ; les phases suivantes sont générées depuis `brain/ENGINEERING_MANUAL.md`. La source de vérité technique est donc le manuel, le code et les tests associés.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Bloc audité</w:t>
            </w:r>
          </w:p>
        </w:tc>
        <w:tc>
          <w:tcPr>
            <w:tcW w:type="dxa" w:w="165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État</w:t>
            </w:r>
          </w:p>
        </w:tc>
        <w:tc>
          <w:tcPr>
            <w:tcW w:type="dxa" w:w="62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Preuve ou réserve</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Audit initial P1</w:t>
            </w:r>
          </w:p>
        </w:tc>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Corrigé</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5 défauts traités en phase 53 ; migrations appliquées sur la base cible.</w:t>
            </w:r>
          </w:p>
        </w:tc>
      </w:tr>
      <w:tr>
        <w:tc>
          <w:tcPr>
            <w:tcW w:type="dxa" w:w="194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Audit initial P2</w:t>
            </w:r>
          </w:p>
        </w:tc>
        <w:tc>
          <w:tcPr>
            <w:tcW w:type="dxa" w:w="1656"/>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Corrigé</w:t>
            </w:r>
          </w:p>
        </w:tc>
        <w:tc>
          <w:tcPr>
            <w:tcW w:type="dxa" w:w="626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9 défauts traités en phase 54 : scopes, créneaux, KPI, session, invitations, webhooks et Flaix.</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Second passage</w:t>
            </w:r>
          </w:p>
        </w:tc>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Corrigé</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Phase 55 : ardoise SENDING, remboursements Stripe et lecture publique du contenant dormant.</w:t>
            </w:r>
          </w:p>
        </w:tc>
      </w:tr>
      <w:tr>
        <w:tc>
          <w:tcPr>
            <w:tcW w:type="dxa" w:w="194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Tests backend</w:t>
            </w:r>
          </w:p>
        </w:tc>
        <w:tc>
          <w:tcPr>
            <w:tcW w:type="dxa" w:w="1656"/>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Très bon niveau</w:t>
            </w:r>
          </w:p>
        </w:tc>
        <w:tc>
          <w:tcPr>
            <w:tcW w:type="dxa" w:w="626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684 tests unitaires documentés ; 11 suites / 110 tests d’intégration sur PostgreSQL réel.</w:t>
            </w:r>
          </w:p>
        </w:tc>
      </w:tr>
      <w:tr>
        <w:tc>
          <w:tcPr>
            <w:tcW w:type="dxa" w:w="19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Tests front</w:t>
            </w:r>
          </w:p>
        </w:tc>
        <w:tc>
          <w:tcPr>
            <w:tcW w:type="dxa" w:w="165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Insuffisant</w:t>
            </w:r>
          </w:p>
        </w:tc>
        <w:tc>
          <w:tcPr>
            <w:tcW w:type="dxa" w:w="62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Pas de tests automatisés pour admin, operator et back-office ; 12 tests mobiles documentés.</w:t>
            </w:r>
          </w:p>
        </w:tc>
      </w:tr>
      <w:tr>
        <w:tc>
          <w:tcPr>
            <w:tcW w:type="dxa" w:w="194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Flaix décisionnel</w:t>
            </w:r>
          </w:p>
        </w:tc>
        <w:tc>
          <w:tcPr>
            <w:tcW w:type="dxa" w:w="1656"/>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En attente du contrat</w:t>
            </w:r>
          </w:p>
        </w:tc>
        <w:tc>
          <w:tcPr>
            <w:tcW w:type="dxa" w:w="626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Stub assumé, sans appelant. Le webhook signé et le lien de rapport fonctionnent séparément.</w:t>
            </w:r>
          </w:p>
        </w:tc>
      </w:tr>
    </w:tbl>
    <w:p>
      <w:pPr>
        <w:spacing w:after="20"/>
      </w:pPr>
    </w:p>
    <w:p>
      <w:pPr>
        <w:pStyle w:val="Heading1"/>
        <w:keepNext/>
        <w:spacing w:before="240" w:after="100"/>
      </w:pPr>
      <w:r>
        <w:rPr>
          <w:rFonts w:ascii="Aptos" w:hAnsi="Aptos"/>
          <w:b/>
          <w:i w:val="0"/>
          <w:color w:val="000000"/>
          <w:sz w:val="30"/>
        </w:rPr>
        <w:t>2 Défauts P1 corrigés</w:t>
      </w:r>
    </w:p>
    <w:p>
      <w:pPr>
        <w:spacing w:after="100" w:line="259" w:lineRule="auto"/>
      </w:pPr>
      <w:r>
        <w:rPr>
          <w:rFonts w:ascii="Aptos" w:hAnsi="Aptos"/>
          <w:b w:val="0"/>
          <w:i w:val="0"/>
          <w:color w:val="1F2933"/>
          <w:sz w:val="19"/>
        </w:rPr>
        <w:t>Ces cinq sujets étaient classés comme bloquants avant production. Ils doivent rester couverts par des tests de non-régression et ne doivent pas être réintroduits lors d’une refonte des parcours de paiement, de lieux ou de fidélité.</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95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Risque initial</w:t>
            </w:r>
          </w:p>
        </w:tc>
        <w:tc>
          <w:tcPr>
            <w:tcW w:type="dxa" w:w="468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Correction apportée</w:t>
            </w:r>
          </w:p>
        </w:tc>
        <w:tc>
          <w:tcPr>
            <w:tcW w:type="dxa" w:w="22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Validation attendue</w:t>
            </w:r>
          </w:p>
        </w:tc>
      </w:tr>
      <w:t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Lecture de créneaux d’un autre club ou d’un autre événement.</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Filtrage par événement et contrôle d’accès organisationnel sur les lectures de créneaux.</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Maintenir les tests cross-tenant et path mismatch.</w:t>
            </w:r>
          </w:p>
        </w:tc>
      </w:tr>
      <w:tr>
        <w:tc>
          <w:tcPr>
            <w:tcW w:type="dxa" w:w="295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Conteneur permanent conservé ACTIVE après retour en mode événementiel.</w:t>
            </w:r>
          </w:p>
        </w:tc>
        <w:tc>
          <w:tcPr>
            <w:tcW w:type="dxa" w:w="4680"/>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Passage en PAUSED, réveil au retour en mode PERMANENT, puis blocage des lectures publiques dormantes.</w:t>
            </w:r>
          </w:p>
        </w:tc>
        <w:tc>
          <w:tcPr>
            <w:tcW w:type="dxa" w:w="22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Tester chaque transition de mode et les anciens liens profonds.</w:t>
            </w:r>
          </w:p>
        </w:tc>
      </w:tr>
      <w:t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Ardoise : paiements capturés sans commande et double envoi concurrent.</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Revendication atomique OPEN → SENDING, orderId unique, compensation Stripe et ronde de rattrapage.</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Tester crash, concurrence, remboursement réussi et remboursement échoué.</w:t>
            </w:r>
          </w:p>
        </w:tc>
      </w:tr>
      <w:tr>
        <w:tc>
          <w:tcPr>
            <w:tcW w:type="dxa" w:w="295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Ardoise : le stock n’était pas décrémenté.</w:t>
            </w:r>
          </w:p>
        </w:tc>
        <w:tc>
          <w:tcPr>
            <w:tcW w:type="dxa" w:w="4680"/>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Décrément de stock partagé entre paiement classique et création depuis ardoise.</w:t>
            </w:r>
          </w:p>
        </w:tc>
        <w:tc>
          <w:tcPr>
            <w:tcW w:type="dxa" w:w="22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Vérifier quantité, survente constatée et audit stock.</w:t>
            </w:r>
          </w:p>
        </w:tc>
      </w:tr>
      <w:tr>
        <w:tc>
          <w:tcPr>
            <w:tcW w:type="dxa" w:w="295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Fidélité : paiement confirmé puis commande refusée par manque de points.</w:t>
            </w:r>
          </w:p>
        </w:tc>
        <w:tc>
          <w:tcPr>
            <w:tcW w:type="dxa" w:w="468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Réservation HOLD avant paiement, conversion en REDEEM à la création, RELEASE à expiration.</w:t>
            </w:r>
          </w:p>
        </w:tc>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Conserver l’invariant solde = somme du registre.</w:t>
            </w:r>
          </w:p>
        </w:tc>
      </w:tr>
    </w:tbl>
    <w:p>
      <w:pPr>
        <w:spacing w:after="20"/>
      </w:pPr>
    </w:p>
    <w:p>
      <w:pPr>
        <w:pStyle w:val="Heading1"/>
        <w:keepNext/>
        <w:spacing w:before="240" w:after="100"/>
      </w:pPr>
      <w:r>
        <w:rPr>
          <w:rFonts w:ascii="Aptos" w:hAnsi="Aptos"/>
          <w:b/>
          <w:i w:val="0"/>
          <w:color w:val="000000"/>
          <w:sz w:val="30"/>
        </w:rPr>
        <w:t>3 Défauts P2 corrigés</w:t>
      </w:r>
    </w:p>
    <w:p>
      <w:pPr>
        <w:spacing w:after="100" w:line="259" w:lineRule="auto"/>
      </w:pPr>
      <w:r>
        <w:rPr>
          <w:rFonts w:ascii="Aptos" w:hAnsi="Aptos"/>
          <w:b w:val="0"/>
          <w:i w:val="0"/>
          <w:color w:val="1F2933"/>
          <w:sz w:val="19"/>
        </w:rPr>
        <w:t>Les neuf P2 concernaient surtout le cloisonnement des buvettes, les règles écrites deux fois et les écritures partielles. Ils sont maintenant décrits en phase 54 et marqués corrigés dans l’état de reprise.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02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Sujet</w:t>
            </w:r>
          </w:p>
        </w:tc>
        <w:tc>
          <w:tcPr>
            <w:tcW w:type="dxa" w:w="40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Correction apportée</w:t>
            </w:r>
          </w:p>
        </w:tc>
        <w:tc>
          <w:tcPr>
            <w:tcW w:type="dxa" w:w="280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Point de contrôle</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Stock opérateur d’une autre buvette</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Helper partagé `requirePorteeBuvette`.</w:t>
            </w:r>
          </w:p>
        </w:tc>
        <w:tc>
          <w:tcPr>
            <w:tcW w:type="dxa" w:w="28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Opérateur limité à sa buvette ; manager non limité.</w:t>
            </w:r>
          </w:p>
        </w:tc>
      </w:tr>
      <w:tr>
        <w:tc>
          <w:tcPr>
            <w:tcW w:type="dxa" w:w="302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Statut d’un créneau d’une autre buvette</w:t>
            </w:r>
          </w:p>
        </w:tc>
        <w:tc>
          <w:tcPr>
            <w:tcW w:type="dxa" w:w="40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Même helper sur `slots.updateStatus`.</w:t>
            </w:r>
          </w:p>
        </w:tc>
        <w:tc>
          <w:tcPr>
            <w:tcW w:type="dxa" w:w="2808"/>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Créneau partagé modifiable uniquement par rôle supérieur.</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Jour local contre jour UTC</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`jourCalendaireLocal` partagé et renvoyé par la matérialisation.</w:t>
            </w:r>
          </w:p>
        </w:tc>
        <w:tc>
          <w:tcPr>
            <w:tcW w:type="dxa" w:w="28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Vérifier le comportement autour de minuit et les fuseaux des lieux.</w:t>
            </w:r>
          </w:p>
        </w:tc>
      </w:tr>
      <w:tr>
        <w:tc>
          <w:tcPr>
            <w:tcW w:type="dxa" w:w="302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Modèles récurrents injectés dans les matchs</w:t>
            </w:r>
          </w:p>
        </w:tc>
        <w:tc>
          <w:tcPr>
            <w:tcW w:type="dxa" w:w="40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Matérialisation bornée au conteneur permanent.</w:t>
            </w:r>
          </w:p>
        </w:tc>
        <w:tc>
          <w:tcPr>
            <w:tcW w:type="dxa" w:w="2808"/>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Un événement ponctuel ne doit recevoir aucun slot récurrent du lieu.</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KPI back-office différents des statistiques club</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Périmètre CA commun excluant les commandes annulées.</w:t>
            </w:r>
          </w:p>
        </w:tc>
        <w:tc>
          <w:tcPr>
            <w:tcW w:type="dxa" w:w="28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Comparer back-office, stats, CRM et fréquentation.</w:t>
            </w:r>
          </w:p>
        </w:tc>
      </w:tr>
      <w:tr>
        <w:tc>
          <w:tcPr>
            <w:tcW w:type="dxa" w:w="302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Session back-office expirant après 15 minutes</w:t>
            </w:r>
          </w:p>
        </w:tc>
        <w:tc>
          <w:tcPr>
            <w:tcW w:type="dxa" w:w="40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Stockage du refresh token et renouvellement avec protection contre les courses.</w:t>
            </w:r>
          </w:p>
        </w:tc>
        <w:tc>
          <w:tcPr>
            <w:tcW w:type="dxa" w:w="2808"/>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Tester deux onglets et plusieurs 401 simultanés.</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Invitation créant un compte orphelin</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Contrôles avant écriture et transaction compte + appartenance.</w:t>
            </w:r>
          </w:p>
        </w:tc>
        <w:tc>
          <w:tcPr>
            <w:tcW w:type="dxa" w:w="28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Tester doublon, fournisseur incompatible et invitations concurrentes.</w:t>
            </w:r>
          </w:p>
        </w:tc>
      </w:tr>
      <w:tr>
        <w:tc>
          <w:tcPr>
            <w:tcW w:type="dxa" w:w="302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Course d’idempotence Stripe</w:t>
            </w:r>
          </w:p>
        </w:tc>
        <w:tc>
          <w:tcPr>
            <w:tcW w:type="dxa" w:w="40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Réclamation atomique du journal webhook avec `createMany` et `skipDuplicates`.</w:t>
            </w:r>
          </w:p>
        </w:tc>
        <w:tc>
          <w:tcPr>
            <w:tcW w:type="dxa" w:w="2808"/>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Rejouer deux événements simultanément et vérifier le traitement.</w:t>
            </w:r>
          </w:p>
        </w:tc>
      </w:tr>
      <w:tr>
        <w:tc>
          <w:tcPr>
            <w:tcW w:type="dxa" w:w="302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Identifiants Flaix non bornés à la commande</w:t>
            </w:r>
          </w:p>
        </w:tc>
        <w:tc>
          <w:tcPr>
            <w:tcW w:type="dxa" w:w="40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Contrôles partagés de compatibilité slot et point de retrait.</w:t>
            </w:r>
          </w:p>
        </w:tc>
        <w:tc>
          <w:tcPr>
            <w:tcW w:type="dxa" w:w="280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Tester identifiant d’un autre événement, lieu ou buvette.</w:t>
            </w:r>
          </w:p>
        </w:tc>
      </w:tr>
    </w:tbl>
    <w:p>
      <w:pPr>
        <w:spacing w:after="20"/>
      </w:pPr>
    </w:p>
    <w:p>
      <w:r>
        <w:br w:type="page"/>
      </w:r>
    </w:p>
    <w:p>
      <w:pPr>
        <w:pStyle w:val="Heading1"/>
        <w:keepNext/>
        <w:spacing w:before="240" w:after="100"/>
      </w:pPr>
      <w:r>
        <w:rPr>
          <w:rFonts w:ascii="Aptos" w:hAnsi="Aptos"/>
          <w:b/>
          <w:i w:val="0"/>
          <w:color w:val="000000"/>
          <w:sz w:val="30"/>
        </w:rPr>
        <w:t>4 Second passage d audit phase 55</w:t>
      </w:r>
    </w:p>
    <w:p>
      <w:pPr>
        <w:spacing w:after="100" w:line="259" w:lineRule="auto"/>
      </w:pPr>
      <w:r>
        <w:rPr>
          <w:rFonts w:ascii="Aptos" w:hAnsi="Aptos"/>
          <w:b w:val="0"/>
          <w:i w:val="0"/>
          <w:color w:val="1F2933"/>
          <w:sz w:val="19"/>
        </w:rPr>
        <w:t>Le second passage est important car il a détecté des défauts introduits par les premières corrections. Il montre que chaque nouvel état métier doit avoir une sortie de secours et un test de reprise après interruption.</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168"/>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Défaut détecté</w:t>
            </w:r>
          </w:p>
        </w:tc>
        <w:tc>
          <w:tcPr>
            <w:tcW w:type="dxa" w:w="4536"/>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Correction</w:t>
            </w:r>
          </w:p>
        </w:tc>
        <w:tc>
          <w:tcPr>
            <w:tcW w:type="dxa" w:w="216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État actuel</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Une ardoise pouvait rester indéfiniment en SENDING après crash.</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Lien commande écrit dans la transaction ; ronde toutes les 5 minutes après 10 minutes sans commande, remboursement puis FAILED.</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Corrigé et couvert par test d’intégration.</w:t>
            </w:r>
          </w:p>
        </w:tc>
      </w:tr>
      <w:tr>
        <w:tc>
          <w:tcPr>
            <w:tcW w:type="dxa" w:w="3168"/>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Un remboursement Stripe n’écrivait jamais REFUNDED.</w:t>
            </w:r>
          </w:p>
        </w:tc>
        <w:tc>
          <w:tcPr>
            <w:tcW w:type="dxa" w:w="4536"/>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Traitement de `charge.refunded` et recalcul depuis toutes les lignes de paiement.</w:t>
            </w:r>
          </w:p>
        </w:tc>
        <w:tc>
          <w:tcPr>
            <w:tcW w:type="dxa" w:w="2160"/>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Corrigé ; une commande partiellement remboursée reste partielle.</w:t>
            </w:r>
          </w:p>
        </w:tc>
      </w:tr>
      <w:tr>
        <w:tc>
          <w:tcPr>
            <w:tcW w:type="dxa" w:w="316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Un contenant dormant restait lisible publiquement.</w:t>
            </w:r>
          </w:p>
        </w:tc>
        <w:tc>
          <w:tcPr>
            <w:tcW w:type="dxa" w:w="453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`GroupsService.canAccessEvent` bloque le contenant lorsque le lieu n’est plus PERMANENT.</w:t>
            </w:r>
          </w:p>
        </w:tc>
        <w:tc>
          <w:tcPr>
            <w:tcW w:type="dxa" w:w="216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Corrigé et couvert par tests publics.</w:t>
            </w:r>
          </w:p>
        </w:tc>
      </w:tr>
    </w:tbl>
    <w:p>
      <w:pPr>
        <w:spacing w:after="20"/>
      </w:pPr>
    </w:p>
    <w:p>
      <w:pPr>
        <w:pStyle w:val="Heading1"/>
        <w:keepNext/>
        <w:spacing w:before="240" w:after="100"/>
      </w:pPr>
      <w:r>
        <w:rPr>
          <w:rFonts w:ascii="Aptos" w:hAnsi="Aptos"/>
          <w:b/>
          <w:i w:val="0"/>
          <w:color w:val="000000"/>
          <w:sz w:val="30"/>
        </w:rPr>
        <w:t>5 Points encore à revoir avant exploitation complète</w:t>
      </w:r>
    </w:p>
    <w:p>
      <w:pPr>
        <w:spacing w:after="100" w:line="259" w:lineRule="auto"/>
      </w:pPr>
      <w:r>
        <w:rPr>
          <w:rFonts w:ascii="Aptos" w:hAnsi="Aptos"/>
          <w:b w:val="0"/>
          <w:i w:val="0"/>
          <w:color w:val="1F2933"/>
          <w:sz w:val="19"/>
        </w:rPr>
        <w:t>Les éléments ci-dessous ne sont pas les P1/P2 de l’audit initial. Ce sont les sujets restant à valider, à décider ou à industrialiser d’après `REPRISE.md` et le manuel.</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7"/>
              </w:rPr>
              <w:t>Catégorie</w:t>
            </w:r>
          </w:p>
        </w:tc>
        <w:tc>
          <w:tcPr>
            <w:tcW w:type="dxa" w:w="7632"/>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7"/>
              </w:rPr>
              <w:t>Point à traiter</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P3 — Tests front</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Ajouter au minimum des tests de parcours pour admin, operator et back-office. Le mobile ne dispose que d’une couverture réduite. Priorité aux connexions, refresh, permissions, paiement, commande prête et remboursement.</w:t>
            </w:r>
          </w:p>
        </w:tc>
      </w:tr>
      <w:tr>
        <w:tc>
          <w:tcPr>
            <w:tcW w:type="dxa" w:w="22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P3 — Validation sur appareils réels</w:t>
            </w:r>
          </w:p>
        </w:tc>
        <w:tc>
          <w:tcPr>
            <w:tcW w:type="dxa" w:w="76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Valider les builds mobiles sur iPhone réel : cloche, commande prête, liste En cours / Terminées, Live Activity et retour après paiement. La partie native iOS n’est pas compilable dans l’environnement Windows d’audit.</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Opérations — Sauvegardes</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Le script existe, mais aucun stockage séparé de Railway ni planification automatique ne fonctionne encore. Tester aussi une restauration réelle, pas seulement la génération d’un fichier.</w:t>
            </w:r>
          </w:p>
        </w:tc>
      </w:tr>
      <w:tr>
        <w:tc>
          <w:tcPr>
            <w:tcW w:type="dxa" w:w="22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Produit — Apple Pay</w:t>
            </w:r>
          </w:p>
        </w:tc>
        <w:tc>
          <w:tcPr>
            <w:tcW w:type="dxa" w:w="76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Apple Pay est volontairement retiré. Créer un identifiant marchand séparé pour cette application avant toute réactivation ; ne pas réutiliser l’identifiant de l’ancienne application.</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Sécurité — compte utilisateur</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Il reste à décider et implémenter le verrouillage temporaire après échecs répétés et la confirmation d’adresse e-mail.</w:t>
            </w:r>
          </w:p>
        </w:tc>
      </w:tr>
      <w:tr>
        <w:tc>
          <w:tcPr>
            <w:tcW w:type="dxa" w:w="22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Notifications</w:t>
            </w:r>
          </w:p>
        </w:tc>
        <w:tc>
          <w:tcPr>
            <w:tcW w:type="dxa" w:w="76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Faire un essai réel avec une campagne, application en arrière-plan et contrôle des journaux Expo/Railway.</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Déploiement mobile</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Les soumissions EAS automatiques restent bloquées ou en file d’attente selon l’état documenté ; prévoir une procédure manuelle stable ou corriger le pipeline.</w:t>
            </w:r>
          </w:p>
        </w:tc>
      </w:tr>
      <w:tr>
        <w:tc>
          <w:tcPr>
            <w:tcW w:type="dxa" w:w="22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Parrainage</w:t>
            </w:r>
          </w:p>
        </w:tc>
        <w:tc>
          <w:tcPr>
            <w:tcW w:type="dxa" w:w="76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Le partage de lien et le QR existent, mais le modèle économique de la récompense n’est pas tranché.</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Dette technique fréquentation</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L’API calcule encore les passages alors qu’aucun écran ne les affiche. Décider de la supprimer ou de la réutiliser.</w:t>
            </w:r>
          </w:p>
        </w:tc>
      </w:tr>
      <w:tr>
        <w:tc>
          <w:tcPr>
            <w:tcW w:type="dxa" w:w="22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Dette technique documents</w:t>
            </w:r>
          </w:p>
        </w:tc>
        <w:tc>
          <w:tcPr>
            <w:tcW w:type="dxa" w:w="76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Les contrats PDF sont stockés en BYTEA avec une limite de 10 Mo. Acceptable à faible volume, mais à déplacer vers un stockage objet si le nombre de clubs augmente.</w:t>
            </w:r>
          </w:p>
        </w:tc>
      </w:tr>
      <w:tr>
        <w:tc>
          <w:tcPr>
            <w:tcW w:type="dxa" w:w="22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Flaix décisionnel</w:t>
            </w:r>
          </w:p>
        </w:tc>
        <w:tc>
          <w:tcPr>
            <w:tcW w:type="dxa" w:w="7632"/>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Le stub est volontaire tant que l’API et le contrat réel n’existent pas. Lors du branchement, le parcours doit continuer si Flaix est indisponible et traiter `null` comme absence de recommandation.</w:t>
            </w:r>
          </w:p>
        </w:tc>
      </w:tr>
      <w:tr>
        <w:tc>
          <w:tcPr>
            <w:tcW w:type="dxa" w:w="22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Documentation</w:t>
            </w:r>
          </w:p>
        </w:tc>
        <w:tc>
          <w:tcPr>
            <w:tcW w:type="dxa" w:w="7632"/>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7"/>
              </w:rPr>
              <w:t>Nettoyer les mentions devenues contradictoires : certaines phrases de la phase 54 et de REPRISE.md indiquent encore que les tests d’intégration ou migrations n’ont pas été lancés, alors que la phase 55 et la CI indiquent le contraire.</w:t>
            </w:r>
          </w:p>
        </w:tc>
      </w:tr>
    </w:tbl>
    <w:p>
      <w:pPr>
        <w:spacing w:after="20"/>
      </w:pPr>
    </w:p>
    <w:p>
      <w:pPr>
        <w:pStyle w:val="Heading1"/>
        <w:keepNext/>
        <w:spacing w:before="240" w:after="100"/>
      </w:pPr>
      <w:r>
        <w:rPr>
          <w:rFonts w:ascii="Aptos" w:hAnsi="Aptos"/>
          <w:b/>
          <w:i w:val="0"/>
          <w:color w:val="000000"/>
          <w:sz w:val="30"/>
        </w:rPr>
        <w:t>6 Lecture des phases et documentation</w:t>
      </w:r>
    </w:p>
    <w:p>
      <w:pPr>
        <w:spacing w:after="100" w:line="259" w:lineRule="auto"/>
      </w:pPr>
      <w:r>
        <w:rPr>
          <w:rFonts w:ascii="Aptos" w:hAnsi="Aptos"/>
          <w:b w:val="0"/>
          <w:i w:val="0"/>
          <w:color w:val="1F2933"/>
          <w:sz w:val="19"/>
        </w:rPr>
        <w:t>Le nombre de phases doit être compris comme un historique de développement et non comme le nombre de fichiers Word historiques.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1800"/>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Phases</w:t>
            </w:r>
          </w:p>
        </w:tc>
        <w:tc>
          <w:tcPr>
            <w:tcW w:type="dxa" w:w="8064"/>
            <w:shd w:fill="17365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jc w:val="left"/>
            </w:pPr>
            <w:r>
              <w:rPr>
                <w:rFonts w:ascii="Aptos" w:hAnsi="Aptos"/>
                <w:b/>
                <w:i w:val="0"/>
                <w:color w:val="FFFFFF"/>
                <w:sz w:val="16"/>
              </w:rPr>
              <w:t>Lecture à retenir</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1 à 14</w:t>
            </w:r>
          </w:p>
        </w:tc>
        <w:tc>
          <w:tcPr>
            <w:tcW w:type="dxa" w:w="80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Ancienne méthode : cahiers des charges Word rédigés avant construction.</w:t>
            </w:r>
          </w:p>
        </w:tc>
      </w:tr>
      <w:tr>
        <w:tc>
          <w:tcPr>
            <w:tcW w:type="dxa" w:w="1800"/>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15 à 22</w:t>
            </w:r>
          </w:p>
        </w:tc>
        <w:tc>
          <w:tcPr>
            <w:tcW w:type="dxa" w:w="806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Phases reprises dans le manuel puis générées en Word ; 16, 17 et 18 sont regroupées dans certains documents.</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23</w:t>
            </w:r>
          </w:p>
        </w:tc>
        <w:tc>
          <w:tcPr>
            <w:tcW w:type="dxa" w:w="80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Numéro absent ; le manuel doit continuer à l’indiquer explicitement comme numéro non utilisé.</w:t>
            </w:r>
          </w:p>
        </w:tc>
      </w:tr>
      <w:tr>
        <w:tc>
          <w:tcPr>
            <w:tcW w:type="dxa" w:w="1800"/>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24 à 52</w:t>
            </w:r>
          </w:p>
        </w:tc>
        <w:tc>
          <w:tcPr>
            <w:tcW w:type="dxa" w:w="806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Fonctionnalités construites : paiement, TVA, ardoise, fidélité, Live Activity, produits manquants, analytics et notifications.</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53</w:t>
            </w:r>
          </w:p>
        </w:tc>
        <w:tc>
          <w:tcPr>
            <w:tcW w:type="dxa" w:w="80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Correction des 5 P1.</w:t>
            </w:r>
          </w:p>
        </w:tc>
      </w:tr>
      <w:tr>
        <w:tc>
          <w:tcPr>
            <w:tcW w:type="dxa" w:w="1800"/>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54</w:t>
            </w:r>
          </w:p>
        </w:tc>
        <w:tc>
          <w:tcPr>
            <w:tcW w:type="dxa" w:w="8064"/>
            <w:shd w:fill="EEF5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Correction des 9 P2.</w:t>
            </w:r>
          </w:p>
        </w:tc>
      </w:tr>
      <w:tr>
        <w:tc>
          <w:tcPr>
            <w:tcW w:type="dxa" w:w="180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55</w:t>
            </w:r>
          </w:p>
        </w:tc>
        <w:tc>
          <w:tcPr>
            <w:tcW w:type="dxa" w:w="806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10" w:type="dxa"/>
              <w:bottom w:w="100" w:type="dxa"/>
              <w:end w:w="110" w:type="dxa"/>
            </w:tcMar>
            <w:vAlign w:val="center"/>
          </w:tcPr>
          <w:p>
            <w:pPr>
              <w:spacing w:after="0" w:line="245" w:lineRule="auto"/>
            </w:pPr>
            <w:r>
              <w:rPr>
                <w:rFonts w:ascii="Aptos" w:hAnsi="Aptos"/>
                <w:b w:val="0"/>
                <w:i w:val="0"/>
                <w:color w:val="1F2933"/>
                <w:sz w:val="16"/>
              </w:rPr>
              <w:t>Second passage d’audit et correction des défauts révélés par les P1/P2.</w:t>
            </w:r>
          </w:p>
        </w:tc>
      </w:tr>
    </w:tbl>
    <w:p>
      <w:pPr>
        <w:spacing w:after="20"/>
      </w:pPr>
    </w:p>
    <w:p>
      <w:pPr>
        <w:spacing w:before="80" w:after="160" w:line="259" w:lineRule="auto"/>
        <w:ind w:left="230" w:right="230"/>
        <w:shd w:fill="FFF2CC"/>
      </w:pPr>
      <w:r>
        <w:rPr>
          <w:rFonts w:ascii="Aptos" w:hAnsi="Aptos"/>
          <w:b/>
          <w:i w:val="0"/>
          <w:color w:val="1F2933"/>
          <w:sz w:val="19"/>
        </w:rPr>
        <w:t xml:space="preserve">Point de vigilance documentaire. </w:t>
      </w:r>
      <w:r>
        <w:rPr>
          <w:rFonts w:ascii="Aptos" w:hAnsi="Aptos"/>
          <w:b w:val="0"/>
          <w:i w:val="0"/>
          <w:color w:val="1F2933"/>
          <w:sz w:val="19"/>
        </w:rPr>
        <w:t>Les Word générés jusqu’à la phase 55 sont désormais présents, mais le manuel reste la source de vérité. Toute correction future doit être faite dans le manuel puis régénérée dans le dossier phases de DEV.</w:t>
      </w:r>
    </w:p>
    <w:p>
      <w:pPr>
        <w:pStyle w:val="Heading1"/>
        <w:keepNext/>
        <w:spacing w:before="240" w:after="100"/>
      </w:pPr>
      <w:r>
        <w:rPr>
          <w:rFonts w:ascii="Aptos" w:hAnsi="Aptos"/>
          <w:b/>
          <w:i w:val="0"/>
          <w:color w:val="000000"/>
          <w:sz w:val="30"/>
        </w:rPr>
        <w:t>7 Demande de clôture à Cloud Code</w:t>
      </w:r>
    </w:p>
    <w:p>
      <w:pPr>
        <w:spacing w:after="100" w:line="259" w:lineRule="auto"/>
      </w:pPr>
      <w:r>
        <w:rPr>
          <w:rFonts w:ascii="Aptos" w:hAnsi="Aptos"/>
          <w:b w:val="0"/>
          <w:i w:val="0"/>
          <w:color w:val="1F2933"/>
          <w:sz w:val="19"/>
        </w:rPr>
        <w:t>Merci de confirmer les points suivants avant de considérer l’audit comme clôturé :</w:t>
      </w:r>
    </w:p>
    <w:p>
      <w:pPr>
        <w:pStyle w:val="ListBullet"/>
        <w:spacing w:after="60" w:line="252" w:lineRule="auto"/>
      </w:pPr>
      <w:r>
        <w:rPr>
          <w:rFonts w:ascii="Aptos" w:hAnsi="Aptos"/>
          <w:b w:val="0"/>
          <w:i w:val="0"/>
          <w:color w:val="1F2933"/>
          <w:sz w:val="18"/>
        </w:rPr>
        <w:t>que les commits des phases 53, 54 et 55 sont bien inclus dans la branche destinée au déploiement ;</w:t>
      </w:r>
    </w:p>
    <w:p>
      <w:pPr>
        <w:pStyle w:val="ListBullet"/>
        <w:spacing w:after="60" w:line="252" w:lineRule="auto"/>
      </w:pPr>
      <w:r>
        <w:rPr>
          <w:rFonts w:ascii="Aptos" w:hAnsi="Aptos"/>
          <w:b w:val="0"/>
          <w:i w:val="0"/>
          <w:color w:val="1F2933"/>
          <w:sz w:val="18"/>
        </w:rPr>
        <w:t>que la CI exécute réellement les migrations de production puis les 11 suites d’intégration sur PostgreSQL ;</w:t>
      </w:r>
    </w:p>
    <w:p>
      <w:pPr>
        <w:pStyle w:val="ListBullet"/>
        <w:spacing w:after="60" w:line="252" w:lineRule="auto"/>
      </w:pPr>
      <w:r>
        <w:rPr>
          <w:rFonts w:ascii="Aptos" w:hAnsi="Aptos"/>
          <w:b w:val="0"/>
          <w:i w:val="0"/>
          <w:color w:val="1F2933"/>
          <w:sz w:val="18"/>
        </w:rPr>
        <w:t>que les tests d’intégration ne peuvent pas s’exécuter sur une base non explicitement désignée ;</w:t>
      </w:r>
    </w:p>
    <w:p>
      <w:pPr>
        <w:pStyle w:val="ListBullet"/>
        <w:spacing w:after="60" w:line="252" w:lineRule="auto"/>
      </w:pPr>
      <w:r>
        <w:rPr>
          <w:rFonts w:ascii="Aptos" w:hAnsi="Aptos"/>
          <w:b w:val="0"/>
          <w:i w:val="0"/>
          <w:color w:val="1F2933"/>
          <w:sz w:val="18"/>
        </w:rPr>
        <w:t>que les scénarios de remboursement, de reprise d’ardoise après crash et de changement de mode d’un lieu ont été vérifiés sur l’environnement cible ;</w:t>
      </w:r>
    </w:p>
    <w:p>
      <w:pPr>
        <w:pStyle w:val="ListBullet"/>
        <w:spacing w:after="60" w:line="252" w:lineRule="auto"/>
      </w:pPr>
      <w:r>
        <w:rPr>
          <w:rFonts w:ascii="Aptos" w:hAnsi="Aptos"/>
          <w:b w:val="0"/>
          <w:i w:val="0"/>
          <w:color w:val="1F2933"/>
          <w:sz w:val="18"/>
        </w:rPr>
        <w:t>que les validations sur appareils mobiles réels et la procédure de sauvegarde/restauration sont planifiées ;</w:t>
      </w:r>
    </w:p>
    <w:p>
      <w:pPr>
        <w:pStyle w:val="ListBullet"/>
        <w:spacing w:after="60" w:line="252" w:lineRule="auto"/>
      </w:pPr>
      <w:r>
        <w:rPr>
          <w:rFonts w:ascii="Aptos" w:hAnsi="Aptos"/>
          <w:b w:val="0"/>
          <w:i w:val="0"/>
          <w:color w:val="1F2933"/>
          <w:sz w:val="18"/>
        </w:rPr>
        <w:t>que les textes obsolètes de `REPRISE.md`, de la phase 54 et de l’ancien rapport d’audit sont synchronisés avec l’état réel du dépôt.</w:t>
      </w:r>
    </w:p>
    <w:p>
      <w:pPr>
        <w:pStyle w:val="Heading1"/>
        <w:keepNext/>
        <w:spacing w:before="240" w:after="100"/>
      </w:pPr>
      <w:r>
        <w:rPr>
          <w:rFonts w:ascii="Aptos" w:hAnsi="Aptos"/>
          <w:b/>
          <w:i w:val="0"/>
          <w:color w:val="000000"/>
          <w:sz w:val="30"/>
        </w:rPr>
        <w:t>8 Références du dépôt</w:t>
      </w:r>
    </w:p>
    <w:p>
      <w:pPr>
        <w:pStyle w:val="ListBullet"/>
        <w:spacing w:after="60" w:line="252" w:lineRule="auto"/>
      </w:pPr>
      <w:r>
        <w:rPr>
          <w:rFonts w:ascii="Aptos" w:hAnsi="Aptos"/>
          <w:b w:val="0"/>
          <w:i w:val="0"/>
          <w:color w:val="1F2933"/>
          <w:sz w:val="18"/>
        </w:rPr>
        <w:t>brain/ENGINEERING_MANUAL.md — récit complet des phases 1 à 55 et décisions techniques.</w:t>
      </w:r>
    </w:p>
    <w:p>
      <w:pPr>
        <w:pStyle w:val="ListBullet"/>
        <w:spacing w:after="60" w:line="252" w:lineRule="auto"/>
      </w:pPr>
      <w:r>
        <w:rPr>
          <w:rFonts w:ascii="Aptos" w:hAnsi="Aptos"/>
          <w:b w:val="0"/>
          <w:i w:val="0"/>
          <w:color w:val="1F2933"/>
          <w:sz w:val="18"/>
        </w:rPr>
        <w:t>REPRISE.md — état opérationnel, sujets ouverts et procédures de reprise.</w:t>
      </w:r>
    </w:p>
    <w:p>
      <w:pPr>
        <w:pStyle w:val="ListBullet"/>
        <w:spacing w:after="60" w:line="252" w:lineRule="auto"/>
      </w:pPr>
      <w:r>
        <w:rPr>
          <w:rFonts w:ascii="Aptos" w:hAnsi="Aptos"/>
          <w:b w:val="0"/>
          <w:i w:val="0"/>
          <w:color w:val="1F2933"/>
          <w:sz w:val="18"/>
        </w:rPr>
        <w:t>brain/audits/AUDIT_2026-09-30_par-phase.md — rapport détaillé du premier audit ; certaines sections historiques décrivent l’état avant les phases 53 à 55.</w:t>
      </w:r>
    </w:p>
    <w:p>
      <w:pPr>
        <w:pStyle w:val="ListBullet"/>
        <w:spacing w:after="60" w:line="252" w:lineRule="auto"/>
      </w:pPr>
      <w:r>
        <w:rPr>
          <w:rFonts w:ascii="Aptos" w:hAnsi="Aptos"/>
          <w:b w:val="0"/>
          <w:i w:val="0"/>
          <w:color w:val="1F2933"/>
          <w:sz w:val="18"/>
        </w:rPr>
        <w:t>phases de DEV/phases generees — documents Word générés depuis le manuel, phases 15 à 55.</w:t>
      </w:r>
    </w:p>
    <w:p>
      <w:pPr>
        <w:pStyle w:val="ListBullet"/>
        <w:spacing w:after="60" w:line="252" w:lineRule="auto"/>
      </w:pPr>
      <w:r>
        <w:rPr>
          <w:rFonts w:ascii="Aptos" w:hAnsi="Aptos"/>
          <w:b w:val="0"/>
          <w:i w:val="0"/>
          <w:color w:val="1F2933"/>
          <w:sz w:val="18"/>
        </w:rPr>
        <w:t>.github/workflows/ci.yml — jobs lint, typecheck, tests, intégration PostgreSQL et build.</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7085"/>
        <w:sz w:val="16"/>
      </w:rPr>
      <w:t>Break Eat — Dossier d’audit technique — 04 octobre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 audit technique Break Eat</dc:title>
  <dc:subject>Synthèse des problèmes corrigés et points à revoir avant exploitation</dc:subject>
  <dc:creator>Break Eat</dc:creator>
  <cp:keywords>audit, Break Eat, Cloud Code, phases, production</cp:keywords>
  <dc:description>Document de synthèse destiné à la transmission à Cloud Code.</dc:description>
  <cp:lastModifiedBy/>
  <cp:revision>1</cp:revision>
  <dcterms:created xsi:type="dcterms:W3CDTF">2013-12-23T23:15:00Z</dcterms:created>
  <dcterms:modified xsi:type="dcterms:W3CDTF">2013-12-23T23:15:00Z</dcterms:modified>
  <cp:category/>
</cp:coreProperties>
</file>