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Phase 29 — Dossier de conformité v0.1</w:t>
      </w:r>
    </w:p>
    <w:p>
      <w:pPr>
        <w:pBdr>
          <w:left w:val="single" w:color="4D04F4" w:sz="18" w:space="6"/>
        </w:pBdr>
        <w:shd w:fill="F6F3FF" w:color="auto" w:val="clear"/>
      </w:pPr>
      <w:r>
        <w:t xml:space="preserve">FlaiX Expert · dossier de développement · généré le 2026-10-25 depuis le dépôt </w:t>
      </w:r>
      <w:hyperlink w:history="1" r:id="rIdib5g9ku0svzezu2kt6w1f">
        <w:r>
          <w:rPr>
            <w:rStyle w:val="Hyperlink"/>
          </w:rPr>
          <w:t xml:space="preserve">Break-Eat-APP/flaix-expert</w:t>
        </w:r>
      </w:hyperlink>
      <w:r>
        <w:t xml:space="preserve">. Règles du projet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AGENTS.md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shd w:fill="EFEAF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shd w:fill="EFEAF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Dates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2026-10-03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Décision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dossier projet §15.126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État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livrée, tests au vert au moment du commit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Commits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</w:tr>
    </w:tbl>
    <w:p/>
    <w:p>
      <w:pPr>
        <w:pStyle w:val="Heading2"/>
      </w:pPr>
      <w:r>
        <w:t xml:space="preserve">1. Ce qui a été décidé, et pourquoi</w:t>
      </w:r>
    </w:p>
    <w:p>
      <w:pPr>
        <w:pStyle w:val="Heading3"/>
      </w:pPr>
      <w:r>
        <w:t xml:space="preserve">15.126 Ordre, éditeur, évolution des paiements (Rémi, 2026-10-03)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Ordre</w:t>
      </w:r>
      <w:r>
        <w:t xml:space="preserve"> : après le stock des ingrédients, la </w:t>
      </w:r>
      <w:r>
        <w:rPr>
          <w:b/>
          <w:bCs/>
        </w:rPr>
        <w:t xml:space="preserve">conformité</w:t>
      </w:r>
      <w:r>
        <w:t xml:space="preserve"> passe avant la facturation et l'import des ventes C&amp;C (elle bloque la production, pas eux). Rémi : « oui ça me va ».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Éditeur et hébergeur</w:t>
      </w:r>
      <w:r>
        <w:t xml:space="preserve"> : </w:t>
      </w:r>
      <w:r>
        <w:rPr>
          <w:i/>
          <w:iCs/>
        </w:rPr>
        <w:t xml:space="preserve">« la société qui héberge Flaix et FlaiX Expert, c'est Break Eat App »</w:t>
      </w:r>
      <w:r>
        <w:t xml:space="preserve">. Les écrans disent </w:t>
      </w:r>
      <w:r>
        <w:rPr>
          <w:b/>
          <w:bCs/>
        </w:rPr>
        <w:t xml:space="preserve">FlaiX Expert</w:t>
      </w:r>
      <w:r>
        <w:t xml:space="preserve"> (le produit) ; l'attestation d'éditeur, les factures aux lieux et les mentions légales sont au nom de </w:t>
      </w:r>
      <w:r>
        <w:rPr>
          <w:b/>
          <w:bCs/>
        </w:rPr>
        <w:t xml:space="preserve">Break Eat App</w:t>
      </w:r>
      <w:r>
        <w:t xml:space="preserve"> (point 11 de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decisions-architecture-production.md</w:t>
      </w:r>
      <w:r>
        <w:t xml:space="preserve"> : forme sociale et SIREN à confirmer sur l'extrait Kbis).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Dossier de conformité</w:t>
      </w:r>
      <w:r>
        <w:t xml:space="preserve"> : Rémi a rédigé un plan en 20 parties (OneDrive, « FLAIX EXPERT — DOSSIER DE CONFORMITÉ DU SYSTÈME DE CAISSE »). Il valide sa réécriture pour la caisse FlaiX Expert (parties 03, 04, 11, 14, 18) et l'ajout des points propres à notre caisse (vente sans réseau, mode formation, clôtures et totaux, ticket et duplicata, contrôle inopiné, conservation du code de chaque version, version majeure / mineure, annulation, offerts et rectification au lieu du « remboursement partiel »).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Évolution annoncée</w:t>
      </w:r>
      <w:r>
        <w:t xml:space="preserve"> : </w:t>
      </w:r>
      <w:r>
        <w:rPr>
          <w:i/>
          <w:iCs/>
        </w:rPr>
        <w:t xml:space="preserve">« il se peut que le logiciel évolue pour faire des tickets et ne pas encaisser directement sur nos TPE à nous ; demain je développe peut-être nos propres TPE Android qui encaisseront toujours avec un PSP style Stripe »</w:t>
      </w:r>
      <w:r>
        <w:t xml:space="preserve">. Le dossier de conformité la prévoit : paiement intégré, référence de transaction du prestataire, remboursements par le prestataire → </w:t>
      </w:r>
      <w:r>
        <w:rPr>
          <w:b/>
          <w:bCs/>
        </w:rPr>
        <w:t xml:space="preserve">version majeure, nouvelle attestation</w:t>
      </w:r>
      <w:r>
        <w:t xml:space="preserve">, et réexamen des questions A (champ du logiciel de caisse) par l'expert-comptable.</w:t>
      </w:r>
    </w:p>
    <w:p>
      <w:pPr>
        <w:pStyle w:val="Heading2"/>
      </w:pPr>
      <w:r>
        <w:t xml:space="preserve">2. Ce qui a été construit — commits</w:t>
      </w:r>
    </w:p>
    <w:p>
      <w:pPr>
        <w:pStyle w:val="ListParagraph"/>
        <w:numPr>
          <w:ilvl w:val="0"/>
          <w:numId w:val="2"/>
        </w:numPr>
      </w:pPr>
      <w:hyperlink w:history="1" r:id="rIdqhfmkyuzi1iv1onllw2qh">
        <w:r>
          <w:rPr>
            <w:rStyle w:val="Hyperlink"/>
          </w:rPr>
          <w:t xml:space="preserve">f75e8a7</w:t>
        </w:r>
      </w:hyperlink>
      <w:r>
        <w:t xml:space="preserve"> — 2026-10-03 — Dossier de conformité FlaiX Expert v0.1 (plan de Rémi réécrit pour la caisse, parties 21 à 28)</w:t>
      </w:r>
    </w:p>
    <w:p>
      <w:pPr>
        <w:pStyle w:val="ListParagraph"/>
        <w:numPr>
          <w:ilvl w:val="0"/>
          <w:numId w:val="2"/>
        </w:numPr>
      </w:pPr>
      <w:hyperlink w:history="1" r:id="rIdk-xkhrrw3s4iyek8qjyxk">
        <w:r>
          <w:rPr>
            <w:rStyle w:val="Hyperlink"/>
          </w:rPr>
          <w:t xml:space="preserve">d26e10e</w:t>
        </w:r>
      </w:hyperlink>
      <w:r>
        <w:t xml:space="preserve"> — 2026-10-03 — Dossier de conformité v0.1 en Word et PDF</w:t>
      </w:r>
    </w:p>
    <w:p>
      <w:pPr>
        <w:pStyle w:val="Heading2"/>
      </w:pPr>
      <w:r>
        <w:t xml:space="preserve">3. Fichiers, par couche</w:t>
      </w:r>
    </w:p>
    <w:p>
      <w:pPr>
        <w:pStyle w:val="Heading3"/>
      </w:pPr>
      <w:r>
        <w:t xml:space="preserve">Documentation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docs/avancement.md</w:t>
      </w:r>
      <w:r>
        <w:t xml:space="preserve"> — modifié — </w:t>
      </w:r>
      <w:hyperlink w:history="1" r:id="rIdctsrbtrlbobfql9nr9u2z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docs/conformite/dossier-conformite-flaix-expert.md</w:t>
      </w:r>
      <w:r>
        <w:t xml:space="preserve"> — créé — </w:t>
      </w:r>
      <w:hyperlink w:history="1" r:id="rId_pkbupofeddc9kfx8abt1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docs/conformite/FlaiX-Expert-Dossier-de-conformite-v0.1.docx</w:t>
      </w:r>
      <w:r>
        <w:t xml:space="preserve"> — créé — </w:t>
      </w:r>
      <w:hyperlink w:history="1" r:id="rId3gzvnzt-2liekrgdg0yh_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docs/conformite/FlaiX-Expert-Dossier-de-conformite-v0.1.pdf</w:t>
      </w:r>
      <w:r>
        <w:t xml:space="preserve"> — créé — </w:t>
      </w:r>
      <w:hyperlink w:history="1" r:id="rIdrm2cfrwm7ylkqlpbxjo9t">
        <w:r>
          <w:rPr>
            <w:rStyle w:val="Hyperlink"/>
          </w:rPr>
          <w:t xml:space="preserve">voir sur GitHub</w:t>
        </w:r>
      </w:hyperlink>
    </w:p>
    <w:p>
      <w:pPr>
        <w:pStyle w:val="Heading2"/>
      </w:pPr>
      <w:r>
        <w:t xml:space="preserve">4. Tests créés dans cette phase</w:t>
      </w:r>
    </w:p>
    <w:p>
      <w:r>
        <w:t xml:space="preserve">Aucun fichier de test créé dans cette phase (les tests modifiés figurent dans la section 3).</w:t>
      </w:r>
    </w:p>
    <w:p>
      <w:pPr>
        <w:pStyle w:val="Heading2"/>
      </w:pPr>
      <w:r>
        <w:t xml:space="preserve">5. Pour reprendre ou vérifier cette phase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pnpm install</w:t>
      </w:r>
      <w:r>
        <w:t xml:space="preserve">,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pnpm db:up</w:t>
      </w:r>
      <w:r>
        <w:t xml:space="preserve"> (PostgreSQL local dans Docker),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pnpm db:migrate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Avant toute modification : lire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AGENTS.md</w:t>
      </w:r>
      <w:r>
        <w:t xml:space="preserve"> (règles et invariants), puis la section du dossier projet indiquée ci-dessus. Une migration appliquée ne se modifie jamais ; un refus de la base est voulu.</w:t>
      </w:r>
    </w:p>
    <w:p>
      <w:pPr>
        <w:pStyle w:val="ListParagraph"/>
        <w:numPr>
          <w:ilvl w:val="0"/>
          <w:numId w:val="2"/>
        </w:numPr>
      </w:pPr>
      <w:r>
        <w:t xml:space="preserve">Ordre de construction complet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docs/developpement/JOURNAL_DES_PHASES.md</w:t>
      </w:r>
      <w:r>
        <w:t xml:space="preserve"> ; où trouver quoi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docs/developpement/CARTE_DU_CODE.md</w:t>
      </w:r>
      <w:r>
        <w:t xml:space="preserve">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808080"/>
        <w:sz w:val="16"/>
        <w:szCs w:val="16"/>
      </w:rPr>
      <w:t xml:space="preserve">FlaiX Expert — dossier de développement — Phase 29 — Dossier de conformité v0.1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after="10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Calibri" w:cs="Calibri" w:eastAsia="Calibri" w:hAnsi="Calibri"/>
      <w:b/>
      <w:bCs/>
      <w:color w:val="4D04F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4D04F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2B254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2B25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ib5g9ku0svzezu2kt6w1f" Type="http://schemas.openxmlformats.org/officeDocument/2006/relationships/hyperlink" Target="https://github.com/Break-Eat-APP/flaix-expert" TargetMode="External"/><Relationship Id="rIdqhfmkyuzi1iv1onllw2qh" Type="http://schemas.openxmlformats.org/officeDocument/2006/relationships/hyperlink" Target="https://github.com/Break-Eat-APP/flaix-expert/commit/f75e8a722681b183641c02e16efd38a6ac4b38ff" TargetMode="External"/><Relationship Id="rIdk-xkhrrw3s4iyek8qjyxk" Type="http://schemas.openxmlformats.org/officeDocument/2006/relationships/hyperlink" Target="https://github.com/Break-Eat-APP/flaix-expert/commit/d26e10ef12863773b521852e0d84a9ffd2415a1d" TargetMode="External"/><Relationship Id="rIdctsrbtrlbobfql9nr9u2z" Type="http://schemas.openxmlformats.org/officeDocument/2006/relationships/hyperlink" Target="https://github.com/Break-Eat-APP/flaix-expert/blob/d26e10ef12863773b521852e0d84a9ffd2415a1d/docs/avancement.md" TargetMode="External"/><Relationship Id="rId_pkbupofeddc9kfx8abt1" Type="http://schemas.openxmlformats.org/officeDocument/2006/relationships/hyperlink" Target="https://github.com/Break-Eat-APP/flaix-expert/blob/d26e10ef12863773b521852e0d84a9ffd2415a1d/docs/conformite/dossier-conformite-flaix-expert.md" TargetMode="External"/><Relationship Id="rId3gzvnzt-2liekrgdg0yh_" Type="http://schemas.openxmlformats.org/officeDocument/2006/relationships/hyperlink" Target="https://github.com/Break-Eat-APP/flaix-expert/blob/d26e10ef12863773b521852e0d84a9ffd2415a1d/docs/conformite/FlaiX-Expert-Dossier-de-conformite-v0.1.docx" TargetMode="External"/><Relationship Id="rIdrm2cfrwm7ylkqlpbxjo9t" Type="http://schemas.openxmlformats.org/officeDocument/2006/relationships/hyperlink" Target="https://github.com/Break-Eat-APP/flaix-expert/blob/d26e10ef12863773b521852e0d84a9ffd2415a1d/docs/conformite/FlaiX-Expert-Dossier-de-conformite-v0.1.pdf" TargetMode="External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FlaiX Expert — dossier de développement — Phase 29 — Dossier de conformité v0.1</dc:title>
  <dc:creator>FlaiX Expert</dc:creator>
  <cp:lastModifiedBy>Un-named</cp:lastModifiedBy>
  <cp:revision>1</cp:revision>
  <dcterms:created xsi:type="dcterms:W3CDTF">2026-10-25T03:11:57.596Z</dcterms:created>
  <dcterms:modified xsi:type="dcterms:W3CDTF">2026-10-25T03:11:57.596Z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