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29 — Dossier de conformité v0.1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jdoptrsqaivl5zxcuhrm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15.126 Ordre, éditeur, évolution des paiements (Rémi, 2026-10-03)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</w:t>
      </w:r>
      <w:r>
        <w:t xml:space="preserve"> : après le stock des ingrédients, la </w:t>
      </w:r>
      <w:r>
        <w:rPr>
          <w:b/>
          <w:bCs/>
        </w:rPr>
        <w:t xml:space="preserve">conformité</w:t>
      </w:r>
      <w:r>
        <w:t xml:space="preserve"> passe avant la facturation et l'import des ventes C&amp;C (elle bloque la production, pas eux). Rémi : « oui ça me va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Éditeur et hébergeur</w:t>
      </w:r>
      <w:r>
        <w:t xml:space="preserve"> : </w:t>
      </w:r>
      <w:r>
        <w:rPr>
          <w:i/>
          <w:iCs/>
        </w:rPr>
        <w:t xml:space="preserve">« la société qui héberge Flaix et FlaiX Expert, c'est Break Eat App »</w:t>
      </w:r>
      <w:r>
        <w:t xml:space="preserve">. Les écrans disent </w:t>
      </w:r>
      <w:r>
        <w:rPr>
          <w:b/>
          <w:bCs/>
        </w:rPr>
        <w:t xml:space="preserve">FlaiX Expert</w:t>
      </w:r>
      <w:r>
        <w:t xml:space="preserve"> (le produit) ; l'attestation d'éditeur, les factures aux lieux et les mentions légales sont au nom de </w:t>
      </w:r>
      <w:r>
        <w:rPr>
          <w:b/>
          <w:bCs/>
        </w:rPr>
        <w:t xml:space="preserve">Break Eat App</w:t>
      </w:r>
      <w:r>
        <w:t xml:space="preserve"> (point 11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decisions-architecture-production.md</w:t>
      </w:r>
      <w:r>
        <w:t xml:space="preserve"> : forme sociale et SIREN à confirmer sur l'extrait Kbis).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Dossier de conformité</w:t>
      </w:r>
      <w:r>
        <w:t xml:space="preserve"> : Rémi a rédigé un plan en 20 parties (OneDrive, « FLAIX EXPERT — DOSSIER DE CONFORMITÉ DU SYSTÈME DE CAISSE »). Il valide sa réécriture pour la caisse FlaiX Expert (parties 03, 04, 11, 14, 18) et l'ajout des points propres à notre caisse (vente sans réseau, mode formation, clôtures et totaux, ticket et duplicata, contrôle inopiné, conservation du code de chaque version, version majeure / mineure, annulation, offerts et rectification au lieu du « remboursement partiel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Évolution annoncée</w:t>
      </w:r>
      <w:r>
        <w:t xml:space="preserve"> : </w:t>
      </w:r>
      <w:r>
        <w:rPr>
          <w:i/>
          <w:iCs/>
        </w:rPr>
        <w:t xml:space="preserve">« il se peut que le logiciel évolue pour faire des tickets et ne pas encaisser directement sur nos TPE à nous ; demain je développe peut-être nos propres TPE Android qui encaisseront toujours avec un PSP style Stripe »</w:t>
      </w:r>
      <w:r>
        <w:t xml:space="preserve">. Le dossier de conformité la prévoit : paiement intégré, référence de transaction du prestataire, remboursements par le prestataire → </w:t>
      </w:r>
      <w:r>
        <w:rPr>
          <w:b/>
          <w:bCs/>
        </w:rPr>
        <w:t xml:space="preserve">version majeure, nouvelle attestation</w:t>
      </w:r>
      <w:r>
        <w:t xml:space="preserve">, et réexamen des questions A (champ du logiciel de caisse) par l'expert-comptable.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y2sf5ll5ep4iu4t5n_kx">
        <w:r>
          <w:rPr>
            <w:rStyle w:val="Hyperlink"/>
          </w:rPr>
          <w:t xml:space="preserve">f75e8a7</w:t>
        </w:r>
      </w:hyperlink>
      <w:r>
        <w:t xml:space="preserve"> — 2026-10-03 — Dossier de conformité FlaiX Expert v0.1 (plan de Rémi réécrit pour la caisse, parties 21 à 28)</w:t>
      </w:r>
    </w:p>
    <w:p>
      <w:pPr>
        <w:pStyle w:val="ListParagraph"/>
        <w:numPr>
          <w:ilvl w:val="0"/>
          <w:numId w:val="2"/>
        </w:numPr>
      </w:pPr>
      <w:hyperlink w:history="1" r:id="rId7tqgxcrk89l5i8pdczu7h">
        <w:r>
          <w:rPr>
            <w:rStyle w:val="Hyperlink"/>
          </w:rPr>
          <w:t xml:space="preserve">d26e10e</w:t>
        </w:r>
      </w:hyperlink>
      <w:r>
        <w:t xml:space="preserve"> — 2026-10-03 — Dossier de conformité v0.1 en Word et PDF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s5f9nwjryovlysiunrit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docs/conformite/dossier-conformite-flaix-expert.md</w:t>
      </w:r>
      <w:r>
        <w:t xml:space="preserve"> — créé — </w:t>
      </w:r>
      <w:hyperlink w:history="1" r:id="rIds6zgcieky9xwn93lsrbs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docs/conformite/FlaiX-Expert-Dossier-de-conformite-v0.1.docx</w:t>
      </w:r>
      <w:r>
        <w:t xml:space="preserve"> — créé — </w:t>
      </w:r>
      <w:hyperlink w:history="1" r:id="rIdzb2mtksmxiwacgtyrstl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docs/conformite/FlaiX-Expert-Dossier-de-conformite-v0.1.pdf</w:t>
      </w:r>
      <w:r>
        <w:t xml:space="preserve"> — créé — </w:t>
      </w:r>
      <w:hyperlink w:history="1" r:id="rIdhy8xlvusxoreyqut56uc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29 — Dossier de conformité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doptrsqaivl5zxcuhrmn" Type="http://schemas.openxmlformats.org/officeDocument/2006/relationships/hyperlink" Target="https://github.com/Break-Eat-APP/flaix-expert" TargetMode="External"/><Relationship Id="rIdry2sf5ll5ep4iu4t5n_kx" Type="http://schemas.openxmlformats.org/officeDocument/2006/relationships/hyperlink" Target="https://github.com/Break-Eat-APP/flaix-expert/commit/f75e8a722681b183641c02e16efd38a6ac4b38ff" TargetMode="External"/><Relationship Id="rId7tqgxcrk89l5i8pdczu7h" Type="http://schemas.openxmlformats.org/officeDocument/2006/relationships/hyperlink" Target="https://github.com/Break-Eat-APP/flaix-expert/commit/d26e10ef12863773b521852e0d84a9ffd2415a1d" TargetMode="External"/><Relationship Id="rIds5f9nwjryovlysiunritn" Type="http://schemas.openxmlformats.org/officeDocument/2006/relationships/hyperlink" Target="https://github.com/Break-Eat-APP/flaix-expert/blob/d26e10ef12863773b521852e0d84a9ffd2415a1d/docs/avancement.md" TargetMode="External"/><Relationship Id="rIds6zgcieky9xwn93lsrbsp" Type="http://schemas.openxmlformats.org/officeDocument/2006/relationships/hyperlink" Target="https://github.com/Break-Eat-APP/flaix-expert/blob/d26e10ef12863773b521852e0d84a9ffd2415a1d/docs/conformite/dossier-conformite-flaix-expert.md" TargetMode="External"/><Relationship Id="rIdzb2mtksmxiwacgtyrstlk" Type="http://schemas.openxmlformats.org/officeDocument/2006/relationships/hyperlink" Target="https://github.com/Break-Eat-APP/flaix-expert/blob/d26e10ef12863773b521852e0d84a9ffd2415a1d/docs/conformite/FlaiX-Expert-Dossier-de-conformite-v0.1.docx" TargetMode="External"/><Relationship Id="rIdhy8xlvusxoreyqut56ucj" Type="http://schemas.openxmlformats.org/officeDocument/2006/relationships/hyperlink" Target="https://github.com/Break-Eat-APP/flaix-expert/blob/d26e10ef12863773b521852e0d84a9ffd2415a1d/docs/conformite/FlaiX-Expert-Dossier-de-conformite-v0.1.pdf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29 — Dossier de conformité v0.1</dc:title>
  <dc:creator>FlaiX Expert</dc:creator>
  <cp:lastModifiedBy>Un-named</cp:lastModifiedBy>
  <cp:revision>1</cp:revision>
  <dcterms:created xsi:type="dcterms:W3CDTF">2026-10-19T14:17:31.057Z</dcterms:created>
  <dcterms:modified xsi:type="dcterms:W3CDTF">2026-10-19T14:17:31.057Z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