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19 — Fidélité, partie gestion</w:t>
      </w:r>
    </w:p>
    <w:p>
      <w:pPr>
        <w:pBdr>
          <w:left w:val="single" w:color="4D04F4" w:sz="18" w:space="6"/>
        </w:pBdr>
        <w:shd w:fill="F6F3FF" w:color="auto" w:val="clear"/>
      </w:pPr>
      <w:r>
        <w:t xml:space="preserve">FlaiX Expert · dossier de développement · généré le 2026-10-21 depuis le dépôt </w:t>
      </w:r>
      <w:hyperlink w:history="1" r:id="rId1wufat1baywvncn0xbyvu">
        <w:r>
          <w:rPr>
            <w:rStyle w:val="Hyperlink"/>
          </w:rPr>
          <w:t xml:space="preserve">Break-Eat-APP/flaix-expert</w:t>
        </w:r>
      </w:hyperlink>
      <w:r>
        <w:t xml:space="preserve">. Règles du projet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2026-10-01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Décision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dossier projet §15.114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livrée, tests au vert au moment du commit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Commits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</w:tbl>
    <w:p/>
    <w:p>
      <w:pPr>
        <w:pStyle w:val="Heading2"/>
      </w:pPr>
      <w:r>
        <w:t xml:space="preserve">1. Ce qui a été décidé, et pourquoi</w:t>
      </w:r>
    </w:p>
    <w:p>
      <w:pPr>
        <w:pStyle w:val="Heading3"/>
      </w:pPr>
      <w:r>
        <w:t xml:space="preserve">15.114 Fidélité — partie gestion (2026-10-01)</w:t>
      </w:r>
    </w:p>
    <w:p>
      <w:r>
        <w:rPr>
          <w:b/>
          <w:bCs/>
        </w:rPr>
        <w:t xml:space="preserve">Demande</w:t>
      </w:r>
      <w:r>
        <w:t xml:space="preserve"> : 6ᵉ module de l'ordre fixé par Rémi (§15.109). Reprise du module 19 validé (§14) : abonnés seulement, n° d'abonné = identifiant unique (le même que la remise abonné du module 1), points convertibles en euros, codes promo, import de la base existante, historique de consommation lu dans les tickets.</w:t>
      </w:r>
    </w:p>
    <w:p>
      <w:r>
        <w:rPr>
          <w:b/>
          <w:bCs/>
        </w:rPr>
        <w:t xml:space="preserve">Construit</w:t>
      </w:r>
      <w:r>
        <w:t xml:space="preserve"> (nouvelle entrée de menu « Fidélité », prévue « plus tard » au §15.96 ; migration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0016</w:t>
      </w:r>
      <w:r>
        <w:t xml:space="preserve">)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Registre des abonnés</w:t>
      </w:r>
      <w:r>
        <w:t xml:space="preserve"> : n° (majuscules, espaces ignorés — le même rapprochement qu'à la caisse), nom, e-mail et téléphone facultatifs, actif ou non (une fiche se désactive, elle ne se supprime pas). Les n° saisis à la caisse </w:t>
      </w:r>
      <w:r>
        <w:rPr>
          <w:b/>
          <w:bCs/>
        </w:rPr>
        <w:t xml:space="preserve">sans fiche</w:t>
      </w:r>
      <w:r>
        <w:t xml:space="preserve"> sont signalés pour qu'on la crée.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Points lus dans les tickets scellés</w:t>
      </w:r>
      <w:r>
        <w:t xml:space="preserve"> : euros entiers de chaque ticket « remise abonné » non annulé × points par euro, + points de départ (import) + ajustements. </w:t>
      </w:r>
      <w:r>
        <w:rPr>
          <w:b/>
          <w:bCs/>
        </w:rPr>
        <w:t xml:space="preserve">Rien n'est recopié</w:t>
      </w:r>
      <w:r>
        <w:t xml:space="preserve"> : un ticket annulé ne compte plus, automatiquement. Les mouvements hors caisse (départ, ajustement avec motif) sont en </w:t>
      </w:r>
      <w:r>
        <w:rPr>
          <w:b/>
          <w:bCs/>
        </w:rPr>
        <w:t xml:space="preserve">écriture seule</w:t>
      </w:r>
      <w:r>
        <w:t xml:space="preserve"> (la base refuse modification et suppression).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Règles des points vides tant que le lieu ne les fixe pas</w:t>
      </w:r>
      <w:r>
        <w:t xml:space="preserve"> : le dossier ne donne que des valeurs de test (1 point / €, 100 points = 5 €) ; elles ne sont </w:t>
      </w:r>
      <w:r>
        <w:rPr>
          <w:b/>
          <w:bCs/>
        </w:rPr>
        <w:t xml:space="preserve">pas</w:t>
      </w:r>
      <w:r>
        <w:t xml:space="preserve"> appliquées d'office. Exemple chiffré affiché une fois réglées.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Historique de consommation</w:t>
      </w:r>
      <w:r>
        <w:t xml:space="preserve"> par abonné : tickets (annulés barrés, sans points), mouvements, modification de la fiche, ajustement.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Codes promo</w:t>
      </w:r>
      <w:r>
        <w:t xml:space="preserve"> : pourcentage ou montant, dates, plafond d'usages facultatif, désactivables ; un code ne se réutilise pas ; état calculé (valide, à venir, expiré, épuisé, désactivé). Le compteur d'usages lit déjà les tickets qui porteront le motif « code promo ».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Import</w:t>
      </w:r>
      <w:r>
        <w:t xml:space="preserve"> de la base existante : fichier CSV d'un tableur, séparateur et en-têtes reconnus seuls (n°, nom, e-mail, téléphone, points), aperçu avant envoi, lignes fautives listées avec leur numéro, doublons du fichier écartés ; un n° qui a déjà une fiche </w:t>
      </w:r>
      <w:r>
        <w:rPr>
          <w:b/>
          <w:bCs/>
        </w:rPr>
        <w:t xml:space="preserve">n'est pas écrasé</w:t>
      </w:r>
      <w:r>
        <w:t xml:space="preserve"> ; le serveur revérifie tout.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Données personnelles</w:t>
      </w:r>
      <w:r>
        <w:t xml:space="preserve"> : isolées par lieu ; le journal technique note quels champs ont changé, </w:t>
      </w:r>
      <w:r>
        <w:rPr>
          <w:b/>
          <w:bCs/>
        </w:rPr>
        <w:t xml:space="preserve">sans recopier</w:t>
      </w:r>
      <w:r>
        <w:t xml:space="preserve"> nom, e-mail ou téléphone ; </w:t>
      </w:r>
      <w:r>
        <w:rPr>
          <w:b/>
          <w:bCs/>
        </w:rPr>
        <w:t xml:space="preserve">non recopiées dans le lieu de formation</w:t>
      </w:r>
      <w:r>
        <w:t xml:space="preserve"> (minimisation). Question G.21 posée (registre des traitements, durée de conservation).</w:t>
      </w:r>
    </w:p>
    <w:p>
      <w:r>
        <w:rPr>
          <w:b/>
          <w:bCs/>
        </w:rPr>
        <w:t xml:space="preserve">Choix à valider par Rémi</w:t>
      </w:r>
      <w:r>
        <w:t xml:space="preserve"> 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 base des abonnés vit dans FlaiX, en attendant le raccordement à l'application Break Eat.</w:t>
      </w:r>
      <w:r>
        <w:t xml:space="preserve"> Le dossier dit : </w:t>
      </w:r>
      <w:r>
        <w:rPr>
          <w:i/>
          <w:iCs/>
        </w:rPr>
        <w:t xml:space="preserve">« ça doit apparaître dans ma base de données de l'application Break Eat »</w:t>
      </w:r>
      <w:r>
        <w:t xml:space="preserve">, mais le mécanisme n'est pas conçu (il dépend de la façon dont ce backend est construit). FlaiX est le seul système qui voit les tickets de la caisse : il garde donc le registre et les points, et les transmettra à l'app Break Eat le jour où elle expose un accès (dans un sens ou dans les deux, à décider avec qui la maintient).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Les règles des points</w:t>
      </w:r>
      <w:r>
        <w:t xml:space="preserve"> (combien de points par euro, palier, valeur) : à fixer par Rémi ou par lieu.</w:t>
      </w:r>
    </w:p>
    <w:p>
      <w:r>
        <w:rPr>
          <w:b/>
          <w:bCs/>
        </w:rPr>
        <w:t xml:space="preserve">Pas encore fait — partie caisse</w:t>
      </w:r>
      <w:r>
        <w:t xml:space="preserve"> : dépenser des points et appliquer un code promo </w:t>
      </w:r>
      <w:r>
        <w:rPr>
          <w:b/>
          <w:bCs/>
        </w:rPr>
        <w:t xml:space="preserve">à la caisse</w:t>
      </w:r>
      <w:r>
        <w:t xml:space="preserve"> (nouvelles remises « points » et « code promo » dans le ticket scellé). Point délicat, à trancher avant de construire : la caisse vend </w:t>
      </w:r>
      <w:r>
        <w:rPr>
          <w:b/>
          <w:bCs/>
        </w:rPr>
        <w:t xml:space="preserve">sans réseau</w:t>
      </w:r>
      <w:r>
        <w:t xml:space="preserve"> ; un solde de points ou un plafond d'usages ne peut pas être vérifié sur une tablette coupée du serveur sans risque de double dépense. Proposition : points et codes plafonnés </w:t>
      </w:r>
      <w:r>
        <w:rPr>
          <w:b/>
          <w:bCs/>
        </w:rPr>
        <w:t xml:space="preserve">seulement avec réseau</w:t>
      </w:r>
      <w:r>
        <w:t xml:space="preserve"> (refus clair sinon), codes sans plafond utilisables hors ligne (liste des codes valides gardée sur la tablette).</w:t>
      </w:r>
    </w:p>
    <w:p>
      <w:r>
        <w:rPr>
          <w:b/>
          <w:bCs/>
        </w:rPr>
        <w:t xml:space="preserve">Vérifié</w:t>
      </w:r>
      <w:r>
        <w:t xml:space="preserve"> : 8 tests du calcul (exemple du dossier : 32,40 € → 32 points ; 340 points → 3 paliers, 15 €, 40 restants ; MATCH50 −50 % sur 12,00 € → 6,00 € ; états d'un code ; import tolérant : en-têtes, séparateurs, guillemets, lignes fautives, doublons) ; 10 tests contre la base (n° inconnus signalés ; rattachement insensible à la casse et aux espaces ; ticket annulé exclu ; points nuls tant que non réglés puis 31 ; ajustement avec motif obligatoire ; historique ; journal sans données personnelles ; import sans écrasement avec points de départ ; codes uniques, plafonds, désactivation ; formation sans registre et en lecture seule). Suites complètes : 114 (moteur), 172 (serveur). Écran vérifié dans le navigateur.</w:t>
      </w:r>
    </w:p>
    <w:p>
      <w:pPr>
        <w:pStyle w:val="Heading2"/>
      </w:pPr>
      <w:r>
        <w:t xml:space="preserve">2. Ce qui a été construit — commits</w:t>
      </w:r>
    </w:p>
    <w:p>
      <w:pPr>
        <w:pStyle w:val="ListParagraph"/>
        <w:numPr>
          <w:ilvl w:val="0"/>
          <w:numId w:val="2"/>
        </w:numPr>
      </w:pPr>
      <w:hyperlink w:history="1" r:id="rIdce60wla6ozo60o047_rq_">
        <w:r>
          <w:rPr>
            <w:rStyle w:val="Hyperlink"/>
          </w:rPr>
          <w:t xml:space="preserve">e110233</w:t>
        </w:r>
      </w:hyperlink>
      <w:r>
        <w:t xml:space="preserve"> — 2026-10-01 — Fidélité : migration (abonnés, mouvements de points en écriture seule, codes promo, réglages vides) et calcul (points, conversion, codes, import tolérant)</w:t>
      </w:r>
    </w:p>
    <w:p>
      <w:pPr>
        <w:pStyle w:val="ListParagraph"/>
        <w:numPr>
          <w:ilvl w:val="0"/>
          <w:numId w:val="2"/>
        </w:numPr>
      </w:pPr>
      <w:hyperlink w:history="1" r:id="rIdq_sp1bqic4zxaykmrw7fd">
        <w:r>
          <w:rPr>
            <w:rStyle w:val="Hyperlink"/>
          </w:rPr>
          <w:t xml:space="preserve">f9ce7f4</w:t>
        </w:r>
      </w:hyperlink>
      <w:r>
        <w:t xml:space="preserve"> — 2026-10-01 — Fidélité, serveur : abonnés, points lus dans les tickets scellés, ajustements, import, codes promo, refus en formation</w:t>
      </w:r>
    </w:p>
    <w:p>
      <w:pPr>
        <w:pStyle w:val="ListParagraph"/>
        <w:numPr>
          <w:ilvl w:val="0"/>
          <w:numId w:val="2"/>
        </w:numPr>
      </w:pPr>
      <w:hyperlink w:history="1" r:id="rIdgmau2axyc8lb6hvr3emuk">
        <w:r>
          <w:rPr>
            <w:rStyle w:val="Hyperlink"/>
          </w:rPr>
          <w:t xml:space="preserve">bd1b604</w:t>
        </w:r>
      </w:hyperlink>
      <w:r>
        <w:t xml:space="preserve"> — 2026-10-01 — Fidélité, écran (abonnés, historique, ajustements, codes promo, import, règles des points), menu ; dossier §15.114, question G.21</w:t>
      </w:r>
    </w:p>
    <w:p>
      <w:pPr>
        <w:pStyle w:val="Heading2"/>
      </w:pPr>
      <w:r>
        <w:t xml:space="preserve">3. Fichiers, par couche</w:t>
      </w:r>
    </w:p>
    <w:p>
      <w:pPr>
        <w:pStyle w:val="Heading3"/>
      </w:pPr>
      <w:r>
        <w:t xml:space="preserve">Base de données (migrations)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db/migrations/0016_fidelite.sql</w:t>
      </w:r>
      <w:r>
        <w:t xml:space="preserve"> — créé — </w:t>
      </w:r>
      <w:hyperlink w:history="1" r:id="rId5-irzirzcpwgl8ysmplju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Tests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apps/api/test/fidelite.test.ts</w:t>
      </w:r>
      <w:r>
        <w:t xml:space="preserve"> — créé — </w:t>
      </w:r>
      <w:hyperlink w:history="1" r:id="rIdrbskclq9yuj9ddmh8u-g2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packages/domain/src/fidelite.test.ts</w:t>
      </w:r>
      <w:r>
        <w:t xml:space="preserve"> — créé — </w:t>
      </w:r>
      <w:hyperlink w:history="1" r:id="rIdcnqzqi2q7bcib2zjbivcq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Moteur de calcul (packages/domain)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packages/domain/src/fidelite.ts</w:t>
      </w:r>
      <w:r>
        <w:t xml:space="preserve"> — créé — </w:t>
      </w:r>
      <w:hyperlink w:history="1" r:id="rIde9c73yxvm43ua_qlppqnn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packages/domain/src/index.ts</w:t>
      </w:r>
      <w:r>
        <w:t xml:space="preserve"> — modifié — </w:t>
      </w:r>
      <w:hyperlink w:history="1" r:id="rIdwlp43n4iax8snilduqq1f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packages/domain/src/journal-technique.ts</w:t>
      </w:r>
      <w:r>
        <w:t xml:space="preserve"> — modifié — </w:t>
      </w:r>
      <w:hyperlink w:history="1" r:id="rIdifrefzdo_0pil7fcrs7js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(apps/api)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apps/api/src/routes/fidelite.ts</w:t>
      </w:r>
      <w:r>
        <w:t xml:space="preserve"> — créé — </w:t>
      </w:r>
      <w:hyperlink w:history="1" r:id="rIdltrpltejqodpbh-p1popf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apps/api/src/serveur.ts</w:t>
      </w:r>
      <w:r>
        <w:t xml:space="preserve"> — modifié — </w:t>
      </w:r>
      <w:hyperlink w:history="1" r:id="rIdxwqrk8ycp_ybsakel4xng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Écrans (apps/web)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apps/web/src/App.tsx</w:t>
      </w:r>
      <w:r>
        <w:t xml:space="preserve"> — modifié — </w:t>
      </w:r>
      <w:hyperlink w:history="1" r:id="rId8pfj7shjqqcifepezq57a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apps/web/src/composants/Coquille.tsx</w:t>
      </w:r>
      <w:r>
        <w:t xml:space="preserve"> — modifié — </w:t>
      </w:r>
      <w:hyperlink w:history="1" r:id="rId7qoii5vdtaiktbbyfgmar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apps/web/src/pages/fidelite/Fidelite.tsx</w:t>
      </w:r>
      <w:r>
        <w:t xml:space="preserve"> — créé — </w:t>
      </w:r>
      <w:hyperlink w:history="1" r:id="rIdnlolgxripaoecjr93gzjx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apps/web/src/styles.css</w:t>
      </w:r>
      <w:r>
        <w:t xml:space="preserve"> — modifié — </w:t>
      </w:r>
      <w:hyperlink w:history="1" r:id="rIdqmeb-ghwtcswu5jevrevi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Documentation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docs/avancement.md</w:t>
      </w:r>
      <w:r>
        <w:t xml:space="preserve"> — modifié — </w:t>
      </w:r>
      <w:hyperlink w:history="1" r:id="rIdhbjlepteawcssrb_kdeiq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docs/flaix-gestion-dossier-projet.md</w:t>
      </w:r>
      <w:r>
        <w:t xml:space="preserve"> — modifié — </w:t>
      </w:r>
      <w:hyperlink w:history="1" r:id="rId09nc1ainvctwkcxybi-ax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docs/questions-expert-comptable.md</w:t>
      </w:r>
      <w:r>
        <w:t xml:space="preserve"> — modifié — </w:t>
      </w:r>
      <w:hyperlink w:history="1" r:id="rIdmmxj2ct_qaj4ahcx76yut">
        <w:r>
          <w:rPr>
            <w:rStyle w:val="Hyperlink"/>
          </w:rPr>
          <w:t xml:space="preserve">voir sur GitHub</w:t>
        </w:r>
      </w:hyperlink>
    </w:p>
    <w:p>
      <w:pPr>
        <w:pStyle w:val="Heading2"/>
      </w:pPr>
      <w:r>
        <w:t xml:space="preserve">4. Tests créés dans cette phase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packages/domain/src/fidelite.test.ts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points et conversion (exemple du dossier, valeurs de test)</w:t>
      </w:r>
    </w:p>
    <w:p>
      <w:pPr>
        <w:pStyle w:val="ListParagraph"/>
        <w:numPr>
          <w:ilvl w:val="1"/>
          <w:numId w:val="2"/>
        </w:numPr>
      </w:pPr>
      <w:r>
        <w:t xml:space="preserve">32,40 € TTC à 1 point par euro → 32 points ; un ticket annulé ou nul n'en donne pas</w:t>
      </w:r>
    </w:p>
    <w:p>
      <w:pPr>
        <w:pStyle w:val="ListParagraph"/>
        <w:numPr>
          <w:ilvl w:val="1"/>
          <w:numId w:val="2"/>
        </w:numPr>
      </w:pPr>
      <w:r>
        <w:t xml:space="preserve">340 points, palier de 100 = 5 € → 3 paliers, 15 €, 40 points restent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codes promo</w:t>
      </w:r>
    </w:p>
    <w:p>
      <w:pPr>
        <w:pStyle w:val="ListParagraph"/>
        <w:numPr>
          <w:ilvl w:val="1"/>
          <w:numId w:val="2"/>
        </w:numPr>
      </w:pPr>
      <w:r>
        <w:t xml:space="preserve">valide dans ses dates et sous son plafond ; sinon à venir, expiré, épuisé ou désactivé</w:t>
      </w:r>
    </w:p>
    <w:p>
      <w:pPr>
        <w:pStyle w:val="ListParagraph"/>
        <w:numPr>
          <w:ilvl w:val="1"/>
          <w:numId w:val="2"/>
        </w:numPr>
      </w:pPr>
      <w:r>
        <w:t xml:space="preserve">−50 % sur 12,00 € → 6,00 € ; un montant ne dépasse jamais le panier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import tolérant de la base d'abonnés</w:t>
      </w:r>
    </w:p>
    <w:p>
      <w:pPr>
        <w:pStyle w:val="ListParagraph"/>
        <w:numPr>
          <w:ilvl w:val="1"/>
          <w:numId w:val="2"/>
        </w:numPr>
      </w:pPr>
      <w:r>
        <w:t xml:space="preserve">reconnaît les en-têtes usuels, le point-virgule, les guillemets ; normalise le n°</w:t>
      </w:r>
    </w:p>
    <w:p>
      <w:pPr>
        <w:pStyle w:val="ListParagraph"/>
        <w:numPr>
          <w:ilvl w:val="1"/>
          <w:numId w:val="2"/>
        </w:numPr>
      </w:pPr>
      <w:r>
        <w:t xml:space="preserve">virgule comme séparateur, colonnes dans un autre ordre, colonnes en trop ignorées</w:t>
      </w:r>
    </w:p>
    <w:p>
      <w:pPr>
        <w:pStyle w:val="ListParagraph"/>
        <w:numPr>
          <w:ilvl w:val="1"/>
          <w:numId w:val="2"/>
        </w:numPr>
      </w:pPr>
      <w:r>
        <w:t xml:space="preserve">lignes fautives listées avec leur numéro de ligne ; doublon pris une seule fois</w:t>
      </w:r>
    </w:p>
    <w:p>
      <w:pPr>
        <w:pStyle w:val="ListParagraph"/>
        <w:numPr>
          <w:ilvl w:val="1"/>
          <w:numId w:val="2"/>
        </w:numPr>
      </w:pPr>
      <w:r>
        <w:t xml:space="preserve">sans colonne n° d'abonné ou nom : rien n'est importé, l'erreur le dit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apps/api/test/fidelite.test.ts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abonnés et points</w:t>
      </w:r>
    </w:p>
    <w:p>
      <w:pPr>
        <w:pStyle w:val="ListParagraph"/>
        <w:numPr>
          <w:ilvl w:val="1"/>
          <w:numId w:val="2"/>
        </w:numPr>
      </w:pPr>
      <w:r>
        <w:t xml:space="preserve">lieu neuf : aucune règle de points supposée ; le n° inconnu de la caisse est signalé</w:t>
      </w:r>
    </w:p>
    <w:p>
      <w:pPr>
        <w:pStyle w:val="ListParagraph"/>
        <w:numPr>
          <w:ilvl w:val="1"/>
          <w:numId w:val="2"/>
        </w:numPr>
      </w:pPr>
      <w:r>
        <w:t xml:space="preserve">une fiche rattache les tickets du n° (casse et espaces ignorés), annulation exclue ; points nuls tant que non réglés</w:t>
      </w:r>
    </w:p>
    <w:p>
      <w:pPr>
        <w:pStyle w:val="ListParagraph"/>
        <w:numPr>
          <w:ilvl w:val="1"/>
          <w:numId w:val="2"/>
        </w:numPr>
      </w:pPr>
      <w:r>
        <w:t xml:space="preserve">règles réglées : 1 point par euro entier → 31 points</w:t>
      </w:r>
    </w:p>
    <w:p>
      <w:pPr>
        <w:pStyle w:val="ListParagraph"/>
        <w:numPr>
          <w:ilvl w:val="1"/>
          <w:numId w:val="2"/>
        </w:numPr>
      </w:pPr>
      <w:r>
        <w:t xml:space="preserve">ajustement : motif obligatoire, journalisé, compté dans le solde</w:t>
      </w:r>
    </w:p>
    <w:p>
      <w:pPr>
        <w:pStyle w:val="ListParagraph"/>
        <w:numPr>
          <w:ilvl w:val="1"/>
          <w:numId w:val="2"/>
        </w:numPr>
      </w:pPr>
      <w:r>
        <w:t xml:space="preserve">historique : tickets (annulé marqué, sans points) et mouvements</w:t>
      </w:r>
    </w:p>
    <w:p>
      <w:pPr>
        <w:pStyle w:val="ListParagraph"/>
        <w:numPr>
          <w:ilvl w:val="1"/>
          <w:numId w:val="2"/>
        </w:numPr>
      </w:pPr>
      <w:r>
        <w:t xml:space="preserve">modification et désactivation journalisées sans recopier les données personnelles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import de la base existante</w:t>
      </w:r>
    </w:p>
    <w:p>
      <w:pPr>
        <w:pStyle w:val="ListParagraph"/>
        <w:numPr>
          <w:ilvl w:val="1"/>
          <w:numId w:val="2"/>
        </w:numPr>
      </w:pPr>
      <w:r>
        <w:t xml:space="preserve">crée les nouveaux abonnés avec leurs points de départ ; un n° déjà présent est signalé, pas écrasé</w:t>
      </w:r>
    </w:p>
    <w:p>
      <w:pPr>
        <w:pStyle w:val="ListParagraph"/>
        <w:numPr>
          <w:ilvl w:val="1"/>
          <w:numId w:val="2"/>
        </w:numPr>
      </w:pPr>
      <w:r>
        <w:t xml:space="preserve">[F] une ligne invalide fait refuser tout l'envoi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codes promo</w:t>
      </w:r>
    </w:p>
    <w:p>
      <w:pPr>
        <w:pStyle w:val="ListParagraph"/>
        <w:numPr>
          <w:ilvl w:val="1"/>
          <w:numId w:val="2"/>
        </w:numPr>
      </w:pPr>
      <w:r>
        <w:t xml:space="preserve">créé, unique, désactivable ; son état est calculé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 formation</w:t>
      </w:r>
    </w:p>
    <w:p>
      <w:pPr>
        <w:pStyle w:val="ListParagraph"/>
        <w:numPr>
          <w:ilvl w:val="1"/>
          <w:numId w:val="2"/>
        </w:numPr>
      </w:pPr>
      <w:r>
        <w:t xml:space="preserve">le registre des abonnés n'est pas recopié dans le lieu d'entraînement, et ne s'y modifie pas</w:t>
      </w:r>
    </w:p>
    <w:p>
      <w:pPr>
        <w:pStyle w:val="Heading2"/>
      </w:pPr>
      <w:r>
        <w:t xml:space="preserve">5. Pour reprendre ou vérifier cette phase</w:t>
      </w:r>
    </w:p>
    <w:p>
      <w:pPr>
        <w:pStyle w:val="ListParagraph"/>
        <w:numPr>
          <w:ilvl w:val="0"/>
          <w:numId w:val="4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install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db:up</w:t>
      </w:r>
      <w:r>
        <w:t xml:space="preserve"> (PostgreSQL local dans Docker),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db:migrate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Tests du moteur de cette phase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packages/domain &amp;&amp; ./node_modules/.bin/vitest run src/fidelite.test.ts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Tests contre la base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apps/api &amp;&amp; ./node_modules/.bin/vitest run test/fidelite.test.ts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Avant toute modification : lire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 (règles et invariants), puis la section du dossier projet indiquée ci-dessus. Une migration appliquée ne se modifie jamais ; un refus de la base est voulu.</w:t>
      </w:r>
    </w:p>
    <w:p>
      <w:pPr>
        <w:pStyle w:val="ListParagraph"/>
        <w:numPr>
          <w:ilvl w:val="0"/>
          <w:numId w:val="2"/>
        </w:numPr>
      </w:pPr>
      <w:r>
        <w:t xml:space="preserve">Ordre de construction complet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; où trouver quoi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FlaiX Expert — dossier de développement — Phase 19 — Fidélité, partie gestion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4D04F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D04F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B25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2B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1wufat1baywvncn0xbyvu" Type="http://schemas.openxmlformats.org/officeDocument/2006/relationships/hyperlink" Target="https://github.com/Break-Eat-APP/flaix-expert" TargetMode="External"/><Relationship Id="rIdce60wla6ozo60o047_rq_" Type="http://schemas.openxmlformats.org/officeDocument/2006/relationships/hyperlink" Target="https://github.com/Break-Eat-APP/flaix-expert/commit/e110233bfed49b8dd87effc7d564314ea89666c7" TargetMode="External"/><Relationship Id="rIdq_sp1bqic4zxaykmrw7fd" Type="http://schemas.openxmlformats.org/officeDocument/2006/relationships/hyperlink" Target="https://github.com/Break-Eat-APP/flaix-expert/commit/f9ce7f4a2853d19ec6a98c4e84e104a986205497" TargetMode="External"/><Relationship Id="rIdgmau2axyc8lb6hvr3emuk" Type="http://schemas.openxmlformats.org/officeDocument/2006/relationships/hyperlink" Target="https://github.com/Break-Eat-APP/flaix-expert/commit/bd1b60433763f1ee26a19bf713bde0d5672455e9" TargetMode="External"/><Relationship Id="rId5-irzirzcpwgl8ysmplju" Type="http://schemas.openxmlformats.org/officeDocument/2006/relationships/hyperlink" Target="https://github.com/Break-Eat-APP/flaix-expert/blob/bd1b60433763f1ee26a19bf713bde0d5672455e9/db/migrations/0016_fidelite.sql" TargetMode="External"/><Relationship Id="rIdrbskclq9yuj9ddmh8u-g2" Type="http://schemas.openxmlformats.org/officeDocument/2006/relationships/hyperlink" Target="https://github.com/Break-Eat-APP/flaix-expert/blob/bd1b60433763f1ee26a19bf713bde0d5672455e9/apps/api/test/fidelite.test.ts" TargetMode="External"/><Relationship Id="rIdcnqzqi2q7bcib2zjbivcq" Type="http://schemas.openxmlformats.org/officeDocument/2006/relationships/hyperlink" Target="https://github.com/Break-Eat-APP/flaix-expert/blob/bd1b60433763f1ee26a19bf713bde0d5672455e9/packages/domain/src/fidelite.test.ts" TargetMode="External"/><Relationship Id="rIde9c73yxvm43ua_qlppqnn" Type="http://schemas.openxmlformats.org/officeDocument/2006/relationships/hyperlink" Target="https://github.com/Break-Eat-APP/flaix-expert/blob/bd1b60433763f1ee26a19bf713bde0d5672455e9/packages/domain/src/fidelite.ts" TargetMode="External"/><Relationship Id="rIdwlp43n4iax8snilduqq1f" Type="http://schemas.openxmlformats.org/officeDocument/2006/relationships/hyperlink" Target="https://github.com/Break-Eat-APP/flaix-expert/blob/bd1b60433763f1ee26a19bf713bde0d5672455e9/packages/domain/src/index.ts" TargetMode="External"/><Relationship Id="rIdifrefzdo_0pil7fcrs7js" Type="http://schemas.openxmlformats.org/officeDocument/2006/relationships/hyperlink" Target="https://github.com/Break-Eat-APP/flaix-expert/blob/bd1b60433763f1ee26a19bf713bde0d5672455e9/packages/domain/src/journal-technique.ts" TargetMode="External"/><Relationship Id="rIdltrpltejqodpbh-p1popf" Type="http://schemas.openxmlformats.org/officeDocument/2006/relationships/hyperlink" Target="https://github.com/Break-Eat-APP/flaix-expert/blob/bd1b60433763f1ee26a19bf713bde0d5672455e9/apps/api/src/routes/fidelite.ts" TargetMode="External"/><Relationship Id="rIdxwqrk8ycp_ybsakel4xng" Type="http://schemas.openxmlformats.org/officeDocument/2006/relationships/hyperlink" Target="https://github.com/Break-Eat-APP/flaix-expert/blob/bd1b60433763f1ee26a19bf713bde0d5672455e9/apps/api/src/serveur.ts" TargetMode="External"/><Relationship Id="rId8pfj7shjqqcifepezq57a" Type="http://schemas.openxmlformats.org/officeDocument/2006/relationships/hyperlink" Target="https://github.com/Break-Eat-APP/flaix-expert/blob/bd1b60433763f1ee26a19bf713bde0d5672455e9/apps/web/src/App.tsx" TargetMode="External"/><Relationship Id="rId7qoii5vdtaiktbbyfgmar" Type="http://schemas.openxmlformats.org/officeDocument/2006/relationships/hyperlink" Target="https://github.com/Break-Eat-APP/flaix-expert/blob/bd1b60433763f1ee26a19bf713bde0d5672455e9/apps/web/src/composants/Coquille.tsx" TargetMode="External"/><Relationship Id="rIdnlolgxripaoecjr93gzjx" Type="http://schemas.openxmlformats.org/officeDocument/2006/relationships/hyperlink" Target="https://github.com/Break-Eat-APP/flaix-expert/blob/bd1b60433763f1ee26a19bf713bde0d5672455e9/apps/web/src/pages/fidelite/Fidelite.tsx" TargetMode="External"/><Relationship Id="rIdqmeb-ghwtcswu5jevrevi" Type="http://schemas.openxmlformats.org/officeDocument/2006/relationships/hyperlink" Target="https://github.com/Break-Eat-APP/flaix-expert/blob/bd1b60433763f1ee26a19bf713bde0d5672455e9/apps/web/src/styles.css" TargetMode="External"/><Relationship Id="rIdhbjlepteawcssrb_kdeiq" Type="http://schemas.openxmlformats.org/officeDocument/2006/relationships/hyperlink" Target="https://github.com/Break-Eat-APP/flaix-expert/blob/bd1b60433763f1ee26a19bf713bde0d5672455e9/docs/avancement.md" TargetMode="External"/><Relationship Id="rId09nc1ainvctwkcxybi-ax" Type="http://schemas.openxmlformats.org/officeDocument/2006/relationships/hyperlink" Target="https://github.com/Break-Eat-APP/flaix-expert/blob/bd1b60433763f1ee26a19bf713bde0d5672455e9/docs/flaix-gestion-dossier-projet.md" TargetMode="External"/><Relationship Id="rIdmmxj2ct_qaj4ahcx76yut" Type="http://schemas.openxmlformats.org/officeDocument/2006/relationships/hyperlink" Target="https://github.com/Break-Eat-APP/flaix-expert/blob/bd1b60433763f1ee26a19bf713bde0d5672455e9/docs/questions-expert-comptable.md" TargetMode="External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FlaiX Expert — dossier de développement — Phase 19 — Fidélité, partie gestion</dc:title>
  <dc:creator>FlaiX Expert</dc:creator>
  <cp:lastModifiedBy>Un-named</cp:lastModifiedBy>
  <cp:revision>1</cp:revision>
  <dcterms:created xsi:type="dcterms:W3CDTF">2026-10-21T17:07:57.305Z</dcterms:created>
  <dcterms:modified xsi:type="dcterms:W3CDTF">2026-10-21T17:07:57.305Z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