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20 — Factures fournisseurs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2026-10-21 depuis le dépôt </w:t>
      </w:r>
      <w:hyperlink w:history="1" r:id="rIdqcplsneblq2urkumq8tiw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§15.115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15.115 Factures fournisseurs ; Wallet &amp; campagnes mis de côté (2026-10-01)</w:t>
      </w:r>
    </w:p>
    <w:p>
      <w:r>
        <w:rPr>
          <w:b/>
          <w:bCs/>
        </w:rPr>
        <w:t xml:space="preserve">Demande</w:t>
      </w:r>
      <w:r>
        <w:t xml:space="preserve"> : 7ᵉ et 8ᵉ modules de l'ordre fixé par Rémi (§15.109) : « wallet », puis « facturation ».</w:t>
      </w:r>
    </w:p>
    <w:p>
      <w:r>
        <w:rPr>
          <w:b/>
          <w:bCs/>
        </w:rPr>
        <w:t xml:space="preserve">Wallet &amp; campagnes — pas construit, et pourquoi</w:t>
      </w:r>
      <w:r>
        <w:t xml:space="preserve"> : la carte Wallet de l'abonné a été </w:t>
      </w:r>
      <w:r>
        <w:rPr>
          <w:b/>
          <w:bCs/>
        </w:rPr>
        <w:t xml:space="preserve">reportée par Rémi lui-même</w:t>
      </w:r>
      <w:r>
        <w:t xml:space="preserve"> (§14, module 20 : </w:t>
      </w:r>
      <w:r>
        <w:rPr>
          <w:i/>
          <w:iCs/>
        </w:rPr>
        <w:t xml:space="preserve">« on reviendra sur le Wallet »</w:t>
      </w:r>
      <w:r>
        <w:t xml:space="preserve">) et suppose des comptes éditeur Apple et Google ; les </w:t>
      </w:r>
      <w:r>
        <w:rPr>
          <w:b/>
          <w:bCs/>
        </w:rPr>
        <w:t xml:space="preserve">campagnes</w:t>
      </w:r>
      <w:r>
        <w:t xml:space="preserve"> ont besoin d'un canal d'envoi qui n'existe pas encore (un service d'envoi d'e-mails avec une adresse d'expéditeur sur un domaine Break Eat, ou les notifications de l'application Break Eat, non raccordée) ; et un message commercial impose un lien de désinscription — sujet RGPD que Rémi veut voir ensemble. </w:t>
      </w:r>
      <w:r>
        <w:rPr>
          <w:b/>
          <w:bCs/>
        </w:rPr>
        <w:t xml:space="preserve">Décisions attendues</w:t>
      </w:r>
      <w:r>
        <w:t xml:space="preserve"> : service d'envoi d'e-mails et domaine d'expéditeur ; raccordement à l'app Break Eat. Le même service d'e-mails servira au rapport de soirée et à la notification des rectifications de Z.</w:t>
      </w:r>
    </w:p>
    <w:p>
      <w:r>
        <w:rPr>
          <w:b/>
          <w:bCs/>
        </w:rPr>
        <w:t xml:space="preserve">Facturation — ce qui est construit : le module 12b validé (factures fournisseurs)</w:t>
      </w:r>
      <w:r>
        <w:t xml:space="preserve">. Le module 12a (ce que le lieu doit à Break Eat : abonnement et commission C&amp;C) dépend des ventes de l'app Break Eat et des contrats côté Break Eat : il ira avec le back-office. L'extension « Factures » proposée le 29/09 (§15.95 : fiches fournisseurs, échéancier, relances, virements groupés) </w:t>
      </w:r>
      <w:r>
        <w:rPr>
          <w:b/>
          <w:bCs/>
        </w:rPr>
        <w:t xml:space="preserve">n'a pas été validée</w:t>
      </w:r>
      <w:r>
        <w:t xml:space="preserve"> : non construite.</w:t>
      </w:r>
    </w:p>
    <w:p>
      <w:r>
        <w:rPr>
          <w:b/>
          <w:bCs/>
        </w:rPr>
        <w:t xml:space="preserve">Construit</w:t>
      </w:r>
      <w:r>
        <w:t xml:space="preserve"> (nouvelle entrée de menu « Factures » ; migration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0017</w:t>
      </w:r>
      <w:r>
        <w:t xml:space="preserve">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Saisie</w:t>
      </w:r>
      <w:r>
        <w:t xml:space="preserve"> de la facture reçue (par la plateforme agréée du lieu, ou sur papier) : fournisseur (proposé d'après les livraisons connues), n°, date, échéance, lignes (produit ou frais sans produit, quantité, prix unitaire HT) ; </w:t>
      </w:r>
      <w:r>
        <w:rPr>
          <w:b/>
          <w:bCs/>
        </w:rPr>
        <w:t xml:space="preserve">pièce jointe</w:t>
      </w:r>
      <w:r>
        <w:t xml:space="preserve"> PDF, JPEG ou PNG (10 Mo, contenu vérifié, gardée dans la base donc dans les sauvegardes) ; une même facture (fournisseur + n°) ne s'enregistre qu'une fois.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Rapprochement automatique</w:t>
      </w:r>
      <w:r>
        <w:t xml:space="preserve"> avec les livraisons </w:t>
      </w:r>
      <w:r>
        <w:rPr>
          <w:b/>
          <w:bCs/>
        </w:rPr>
        <w:t xml:space="preserve">déjà saisies</w:t>
      </w:r>
      <w:r>
        <w:t xml:space="preserve"> dans le Stock : même produit, même fournisseur (casse et accents ignorés), livrée entre 45 jours avant et 7 jours après la facture ; même quantité d'abord, puis la date la plus proche ; une livraison ne sert qu'une fois ; le directeur peut choisir une autre livraison.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Écarts</w:t>
      </w:r>
      <w:r>
        <w:t xml:space="preserve"> (règles du dossier, défaut corrigé compris) : quantité = facturé − livré ; prix = (prix facturé − prix livré) × quantité livrée, </w:t>
      </w:r>
      <w:r>
        <w:rPr>
          <w:b/>
          <w:bCs/>
        </w:rPr>
        <w:t xml:space="preserve">en euros</w:t>
      </w:r>
      <w:r>
        <w:t xml:space="preserve"> ; tolérance </w:t>
      </w:r>
      <w:r>
        <w:rPr>
          <w:b/>
          <w:bCs/>
        </w:rPr>
        <w:t xml:space="preserve">max(0,50 €, 1 % du montant livré)</w:t>
      </w:r>
      <w:r>
        <w:t xml:space="preserve"> — </w:t>
      </w:r>
      <w:r>
        <w:rPr>
          <w:b/>
          <w:bCs/>
        </w:rPr>
        <w:t xml:space="preserve">validée par Rémi le 2026-10-01</w:t>
      </w:r>
      <w:r>
        <w:t xml:space="preserve"> (§15.117). Signalés, </w:t>
      </w:r>
      <w:r>
        <w:rPr>
          <w:b/>
          <w:bCs/>
        </w:rPr>
        <w:t xml:space="preserve">jamais corrigés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Statuts</w:t>
      </w:r>
      <w:r>
        <w:t xml:space="preserve"> : reçue (à rapprocher) → rapprochée / en écart → </w:t>
      </w:r>
      <w:r>
        <w:rPr>
          <w:b/>
          <w:bCs/>
        </w:rPr>
        <w:t xml:space="preserve">validée</w:t>
      </w:r>
      <w:r>
        <w:t xml:space="preserve"> (motif obligatoire s'il reste un écart ou une ligne sans livraison ; le rapprochement est figé avec la validation) → </w:t>
      </w:r>
      <w:r>
        <w:rPr>
          <w:b/>
          <w:bCs/>
        </w:rPr>
        <w:t xml:space="preserve">payée</w:t>
      </w:r>
      <w:r>
        <w:t xml:space="preserve"> (date de paiement, après validation). </w:t>
      </w:r>
      <w:r>
        <w:rPr>
          <w:b/>
          <w:bCs/>
        </w:rPr>
        <w:t xml:space="preserve">Une facture validée est figée par la base</w:t>
      </w:r>
      <w:r>
        <w:t xml:space="preserve"> (en-tête, lignes, pièce jointe) ; rien ne se supprime. Chaque étape est inscrite au journal technique. Échéance dépassée d'une facture validée non payée : signalée en tête d'écran.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Conformité</w:t>
      </w:r>
      <w:r>
        <w:t xml:space="preserve"> : le test « les mouvements de stock ne se vident pas, même par le propriétaire de la base » a été ajusté — les lignes de facture référencent les livraisons, PostgreSQL refuse donc le vidage avant même la protection ; le vidage « en cascade » est vérifié refusé par la protection elle-même.</w:t>
      </w:r>
    </w:p>
    <w:p>
      <w:r>
        <w:rPr>
          <w:b/>
          <w:bCs/>
        </w:rPr>
        <w:t xml:space="preserve">Pas construit (hors périmètre validé)</w:t>
      </w:r>
      <w:r>
        <w:t xml:space="preserve"> : capture par une adresse e-mail dédiée au lieu (suppose de recevoir des e-mails) ; partage en lecture seule avec l'expert-comptable (ira avec l'accès vérificateur, sujet Conformité) ; mise à jour du coût d'achat depuis la facture (le dossier 12b dit : écarts jamais corrigés automatiquement).</w:t>
      </w:r>
    </w:p>
    <w:p>
      <w:r>
        <w:rPr>
          <w:b/>
          <w:bCs/>
        </w:rPr>
        <w:t xml:space="preserve">Vérifié</w:t>
      </w:r>
      <w:r>
        <w:t xml:space="preserve"> : 10 tests du rapprochement (les trois cas chiffrés du dossier : Brasserie du Sud rapprochée, Boucherie 20 € d'écart au-dessus du seuil de 4,75 €, Frigo Nord −4 en quantité ; seuil sur l'impact en euros ; unicité d'usage d'une livraison ; choix du directeur ; statut ; total) ; 8 tests contre la base (saisie, doublon refusé, frais ignorés, nouveau fournisseur « reçue », livraison déjà prise non reproposée, motif obligatoire, facture figée jusque dans la base, rapprochement figé à la validation, paiement après validation et une seule fois, pièce jointe vérifiée et relue). Suites complètes : 124 (moteur), 180 (serveur). Écran vérifié dans le navigateur (facture à 1,20 € contre une livraison à 1,10 € : « +2,40 € sur le prix », validée avec motif).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dduwjm-nurk52vfyccagy">
        <w:r>
          <w:rPr>
            <w:rStyle w:val="Hyperlink"/>
          </w:rPr>
          <w:t xml:space="preserve">be6307c</w:t>
        </w:r>
      </w:hyperlink>
      <w:r>
        <w:t xml:space="preserve"> — 2026-10-01 — Factures fournisseurs, serveur : saisie, rapprochement avec les livraisons du Stock, écarts, validation motivée, paiement, pièce jointe, facture figée (migration 0017)</w:t>
      </w:r>
    </w:p>
    <w:p>
      <w:pPr>
        <w:pStyle w:val="ListParagraph"/>
        <w:numPr>
          <w:ilvl w:val="0"/>
          <w:numId w:val="2"/>
        </w:numPr>
      </w:pPr>
      <w:hyperlink w:history="1" r:id="rId2gl8p2nzjnrufe7ymvv6p">
        <w:r>
          <w:rPr>
            <w:rStyle w:val="Hyperlink"/>
          </w:rPr>
          <w:t xml:space="preserve">e847e75</w:t>
        </w:r>
      </w:hyperlink>
      <w:r>
        <w:t xml:space="preserve"> — 2026-10-01 — Factures fournisseurs : écran (saisie, rapprochement, validation, paiement, pièce jointe), menu ; test de conformité ajusté ; dossier §15.115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db/migrations/0017_factures_fournisseurs.sql</w:t>
      </w:r>
      <w:r>
        <w:t xml:space="preserve"> — créé — </w:t>
      </w:r>
      <w:hyperlink w:history="1" r:id="rIdbbx8uc1besxhpgwjgkdi8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apps/api/test/conformite-base.test.ts</w:t>
      </w:r>
      <w:r>
        <w:t xml:space="preserve"> — modifié — </w:t>
      </w:r>
      <w:hyperlink w:history="1" r:id="rId92azd3uo-ggle-v9f--h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apps/api/test/factures.test.ts</w:t>
      </w:r>
      <w:r>
        <w:t xml:space="preserve"> — créé — </w:t>
      </w:r>
      <w:hyperlink w:history="1" r:id="rIdqimuwgk6dow5_hs7zeb5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packages/domain/src/factures.test.ts</w:t>
      </w:r>
      <w:r>
        <w:t xml:space="preserve"> — créé — </w:t>
      </w:r>
      <w:hyperlink w:history="1" r:id="rIdl5o_5xgcttcuatqp5zmjs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packages/domain/src/factures.ts</w:t>
      </w:r>
      <w:r>
        <w:t xml:space="preserve"> — créé — </w:t>
      </w:r>
      <w:hyperlink w:history="1" r:id="rIdot-y_1mpmjfiyfhsqvxc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5brpydue6r2up9rvlecwy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eqrnnfv7ic3mc1ounfueb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apps/api/src/routes/factures.ts</w:t>
      </w:r>
      <w:r>
        <w:t xml:space="preserve"> — créé — </w:t>
      </w:r>
      <w:hyperlink w:history="1" r:id="rIdpwi4i8ukintgugm-ffgq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fgyiolbgjwcuakc2nrslz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apps/web/src/App.tsx</w:t>
      </w:r>
      <w:r>
        <w:t xml:space="preserve"> — modifié — </w:t>
      </w:r>
      <w:hyperlink w:history="1" r:id="rIdiuikqi2lr4gcdt2ixbbcq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apps/web/src/composants/Coquille.tsx</w:t>
      </w:r>
      <w:r>
        <w:t xml:space="preserve"> — modifié — </w:t>
      </w:r>
      <w:hyperlink w:history="1" r:id="rIdgdnoqvmy-kdbs6yvshwv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apps/web/src/pages/factures/Factures.tsx</w:t>
      </w:r>
      <w:r>
        <w:t xml:space="preserve"> — créé — </w:t>
      </w:r>
      <w:hyperlink w:history="1" r:id="rIdz4soz4flpd9mjvogn0rq2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2o10pqv5yn27xhzefmfco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poezhnekkdmwcmv4hcjv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lg1juq5oevu2_udv459vp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apps/api/test/factures.test.ts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saisie et rapprochement</w:t>
      </w:r>
    </w:p>
    <w:p>
      <w:pPr>
        <w:pStyle w:val="ListParagraph"/>
        <w:numPr>
          <w:ilvl w:val="1"/>
          <w:numId w:val="2"/>
        </w:numPr>
      </w:pPr>
      <w:r>
        <w:t xml:space="preserve">Brasserie du Sud : identique à la livraison → rapprochée ; un n° déjà saisi est refusé</w:t>
      </w:r>
    </w:p>
    <w:p>
      <w:pPr>
        <w:pStyle w:val="ListParagraph"/>
        <w:numPr>
          <w:ilvl w:val="1"/>
          <w:numId w:val="2"/>
        </w:numPr>
      </w:pPr>
      <w:r>
        <w:t xml:space="preserve">Boucherie : 0,99 € contre 0,95 € sur 500 → 20 € d'écart, en écart ; frais de livraison sans produit ignorés</w:t>
      </w:r>
    </w:p>
    <w:p>
      <w:pPr>
        <w:pStyle w:val="ListParagraph"/>
        <w:numPr>
          <w:ilvl w:val="1"/>
          <w:numId w:val="2"/>
        </w:numPr>
      </w:pPr>
      <w:r>
        <w:t xml:space="preserve">nouveau fournisseur sans livraison : reçue, à rapprocher</w:t>
      </w:r>
    </w:p>
    <w:p>
      <w:pPr>
        <w:pStyle w:val="ListParagraph"/>
        <w:numPr>
          <w:ilvl w:val="1"/>
          <w:numId w:val="2"/>
        </w:numPr>
      </w:pPr>
      <w:r>
        <w:t xml:space="preserve">une livraison déjà rapprochée d'une facture n'est pas proposée à une autre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 et paiement</w:t>
      </w:r>
    </w:p>
    <w:p>
      <w:pPr>
        <w:pStyle w:val="ListParagraph"/>
        <w:numPr>
          <w:ilvl w:val="1"/>
          <w:numId w:val="2"/>
        </w:numPr>
      </w:pPr>
      <w:r>
        <w:t xml:space="preserve">[F] une facture en écart ne se valide pas sans motif ; avec motif, elle est validée et figée</w:t>
      </w:r>
    </w:p>
    <w:p>
      <w:pPr>
        <w:pStyle w:val="ListParagraph"/>
        <w:numPr>
          <w:ilvl w:val="1"/>
          <w:numId w:val="2"/>
        </w:numPr>
      </w:pPr>
      <w:r>
        <w:t xml:space="preserve">le rapprochement automatique est figé à la validation</w:t>
      </w:r>
    </w:p>
    <w:p>
      <w:pPr>
        <w:pStyle w:val="ListParagraph"/>
        <w:numPr>
          <w:ilvl w:val="1"/>
          <w:numId w:val="2"/>
        </w:numPr>
      </w:pPr>
      <w:r>
        <w:t xml:space="preserve">payée seulement après validation, une seule fois ; tout est journalisé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pièce jointe</w:t>
      </w:r>
    </w:p>
    <w:p>
      <w:pPr>
        <w:pStyle w:val="ListParagraph"/>
        <w:numPr>
          <w:ilvl w:val="1"/>
          <w:numId w:val="2"/>
        </w:numPr>
      </w:pPr>
      <w:r>
        <w:t xml:space="preserve">un PDF se dépose et se relit ; un contenu qui ne correspond pas au type est refusé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packages/domain/src/factures.test.ts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écarts : les trois cas vérifiés du dossier (module 12b)</w:t>
      </w:r>
    </w:p>
    <w:p>
      <w:pPr>
        <w:pStyle w:val="ListParagraph"/>
        <w:numPr>
          <w:ilvl w:val="1"/>
          <w:numId w:val="2"/>
        </w:numPr>
      </w:pPr>
      <w:r>
        <w:t xml:space="preserve">Brasserie du Sud : 240 bières à 1,25 € comme livrées → rapprochée, écart nul</w:t>
      </w:r>
    </w:p>
    <w:p>
      <w:pPr>
        <w:pStyle w:val="ListParagraph"/>
        <w:numPr>
          <w:ilvl w:val="1"/>
          <w:numId w:val="2"/>
        </w:numPr>
      </w:pPr>
      <w:r>
        <w:t xml:space="preserve">Boucherie : 500 saucisses à 0,99 € contre 0,95 € → 20 € d'impact, au-dessus du seuil de 4,75 € → en écart</w:t>
      </w:r>
    </w:p>
    <w:p>
      <w:pPr>
        <w:pStyle w:val="ListParagraph"/>
        <w:numPr>
          <w:ilvl w:val="1"/>
          <w:numId w:val="2"/>
        </w:numPr>
      </w:pPr>
      <w:r>
        <w:t xml:space="preserve">le seuil porte sur l'impact en euros, pas sur l'écart unitaire (défaut corrigé au dossier)</w:t>
      </w:r>
    </w:p>
    <w:p>
      <w:pPr>
        <w:pStyle w:val="ListParagraph"/>
        <w:numPr>
          <w:ilvl w:val="1"/>
          <w:numId w:val="2"/>
        </w:numPr>
      </w:pPr>
      <w:r>
        <w:t xml:space="preserve">Frigo Nord : 76 kg facturés contre 80 livrés → en écart, même à prix identique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rapprochement automatique</w:t>
      </w:r>
    </w:p>
    <w:p>
      <w:pPr>
        <w:pStyle w:val="ListParagraph"/>
        <w:numPr>
          <w:ilvl w:val="1"/>
          <w:numId w:val="2"/>
        </w:numPr>
      </w:pPr>
      <w:r>
        <w:t xml:space="preserve">même produit et même fournisseur (casse et accents ignorés), dans la fenêtre de dates ; même quantité d'abord</w:t>
      </w:r>
    </w:p>
    <w:p>
      <w:pPr>
        <w:pStyle w:val="ListParagraph"/>
        <w:numPr>
          <w:ilvl w:val="1"/>
          <w:numId w:val="2"/>
        </w:numPr>
      </w:pPr>
      <w:r>
        <w:t xml:space="preserve">une livraison ne sert qu'une fois ; une ligne sans livraison possible reste non rapprochée</w:t>
      </w:r>
    </w:p>
    <w:p>
      <w:pPr>
        <w:pStyle w:val="ListParagraph"/>
        <w:numPr>
          <w:ilvl w:val="1"/>
          <w:numId w:val="2"/>
        </w:numPr>
      </w:pPr>
      <w:r>
        <w:t xml:space="preserve">le choix du directeur l'emporte et réserve la livraison</w:t>
      </w:r>
    </w:p>
    <w:p>
      <w:pPr>
        <w:pStyle w:val="ListParagraph"/>
        <w:numPr>
          <w:ilvl w:val="1"/>
          <w:numId w:val="2"/>
        </w:numPr>
      </w:pPr>
      <w:r>
        <w:t xml:space="preserve">une livraison déjà rattachée à une autre facture n'est pas reprise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statut et total</w:t>
      </w:r>
    </w:p>
    <w:p>
      <w:pPr>
        <w:pStyle w:val="ListParagraph"/>
        <w:numPr>
          <w:ilvl w:val="1"/>
          <w:numId w:val="2"/>
        </w:numPr>
      </w:pPr>
      <w:r>
        <w:t xml:space="preserve">rapprochée seulement si chaque ligne produit l'est ; un écart l'emporte ; frais divers ignorés</w:t>
      </w:r>
    </w:p>
    <w:p>
      <w:pPr>
        <w:pStyle w:val="ListParagraph"/>
        <w:numPr>
          <w:ilvl w:val="1"/>
          <w:numId w:val="2"/>
        </w:numPr>
      </w:pPr>
      <w:r>
        <w:t xml:space="preserve">total HT = Σ quantité × prix unitaire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src/factures.test.ts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test/factures.test.ts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20 — Factures fournisseurs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cplsneblq2urkumq8tiw" Type="http://schemas.openxmlformats.org/officeDocument/2006/relationships/hyperlink" Target="https://github.com/Break-Eat-APP/flaix-expert" TargetMode="External"/><Relationship Id="rIddduwjm-nurk52vfyccagy" Type="http://schemas.openxmlformats.org/officeDocument/2006/relationships/hyperlink" Target="https://github.com/Break-Eat-APP/flaix-expert/commit/be6307ce4039ab4cae3dc394f699410264d9c832" TargetMode="External"/><Relationship Id="rId2gl8p2nzjnrufe7ymvv6p" Type="http://schemas.openxmlformats.org/officeDocument/2006/relationships/hyperlink" Target="https://github.com/Break-Eat-APP/flaix-expert/commit/e847e752747b612abb5b16d8de499b4d3e2ab82c" TargetMode="External"/><Relationship Id="rIdbbx8uc1besxhpgwjgkdi8" Type="http://schemas.openxmlformats.org/officeDocument/2006/relationships/hyperlink" Target="https://github.com/Break-Eat-APP/flaix-expert/blob/e847e752747b612abb5b16d8de499b4d3e2ab82c/db/migrations/0017_factures_fournisseurs.sql" TargetMode="External"/><Relationship Id="rId92azd3uo-ggle-v9f--hz" Type="http://schemas.openxmlformats.org/officeDocument/2006/relationships/hyperlink" Target="https://github.com/Break-Eat-APP/flaix-expert/blob/e847e752747b612abb5b16d8de499b4d3e2ab82c/apps/api/test/conformite-base.test.ts" TargetMode="External"/><Relationship Id="rIdqimuwgk6dow5_hs7zeb5i" Type="http://schemas.openxmlformats.org/officeDocument/2006/relationships/hyperlink" Target="https://github.com/Break-Eat-APP/flaix-expert/blob/e847e752747b612abb5b16d8de499b4d3e2ab82c/apps/api/test/factures.test.ts" TargetMode="External"/><Relationship Id="rIdl5o_5xgcttcuatqp5zmjs" Type="http://schemas.openxmlformats.org/officeDocument/2006/relationships/hyperlink" Target="https://github.com/Break-Eat-APP/flaix-expert/blob/e847e752747b612abb5b16d8de499b4d3e2ab82c/packages/domain/src/factures.test.ts" TargetMode="External"/><Relationship Id="rIdot-y_1mpmjfiyfhsqvxcd" Type="http://schemas.openxmlformats.org/officeDocument/2006/relationships/hyperlink" Target="https://github.com/Break-Eat-APP/flaix-expert/blob/e847e752747b612abb5b16d8de499b4d3e2ab82c/packages/domain/src/factures.ts" TargetMode="External"/><Relationship Id="rId5brpydue6r2up9rvlecwy" Type="http://schemas.openxmlformats.org/officeDocument/2006/relationships/hyperlink" Target="https://github.com/Break-Eat-APP/flaix-expert/blob/e847e752747b612abb5b16d8de499b4d3e2ab82c/packages/domain/src/index.ts" TargetMode="External"/><Relationship Id="rIdeqrnnfv7ic3mc1ounfueb" Type="http://schemas.openxmlformats.org/officeDocument/2006/relationships/hyperlink" Target="https://github.com/Break-Eat-APP/flaix-expert/blob/e847e752747b612abb5b16d8de499b4d3e2ab82c/packages/domain/src/journal-technique.ts" TargetMode="External"/><Relationship Id="rIdpwi4i8ukintgugm-ffgqs" Type="http://schemas.openxmlformats.org/officeDocument/2006/relationships/hyperlink" Target="https://github.com/Break-Eat-APP/flaix-expert/blob/e847e752747b612abb5b16d8de499b4d3e2ab82c/apps/api/src/routes/factures.ts" TargetMode="External"/><Relationship Id="rIdfgyiolbgjwcuakc2nrslz" Type="http://schemas.openxmlformats.org/officeDocument/2006/relationships/hyperlink" Target="https://github.com/Break-Eat-APP/flaix-expert/blob/e847e752747b612abb5b16d8de499b4d3e2ab82c/apps/api/src/serveur.ts" TargetMode="External"/><Relationship Id="rIdiuikqi2lr4gcdt2ixbbcq" Type="http://schemas.openxmlformats.org/officeDocument/2006/relationships/hyperlink" Target="https://github.com/Break-Eat-APP/flaix-expert/blob/e847e752747b612abb5b16d8de499b4d3e2ab82c/apps/web/src/App.tsx" TargetMode="External"/><Relationship Id="rIdgdnoqvmy-kdbs6yvshwvi" Type="http://schemas.openxmlformats.org/officeDocument/2006/relationships/hyperlink" Target="https://github.com/Break-Eat-APP/flaix-expert/blob/e847e752747b612abb5b16d8de499b4d3e2ab82c/apps/web/src/composants/Coquille.tsx" TargetMode="External"/><Relationship Id="rIdz4soz4flpd9mjvogn0rq2" Type="http://schemas.openxmlformats.org/officeDocument/2006/relationships/hyperlink" Target="https://github.com/Break-Eat-APP/flaix-expert/blob/e847e752747b612abb5b16d8de499b4d3e2ab82c/apps/web/src/pages/factures/Factures.tsx" TargetMode="External"/><Relationship Id="rId2o10pqv5yn27xhzefmfco" Type="http://schemas.openxmlformats.org/officeDocument/2006/relationships/hyperlink" Target="https://github.com/Break-Eat-APP/flaix-expert/blob/e847e752747b612abb5b16d8de499b4d3e2ab82c/apps/web/src/styles.css" TargetMode="External"/><Relationship Id="rIdpoezhnekkdmwcmv4hcjvg" Type="http://schemas.openxmlformats.org/officeDocument/2006/relationships/hyperlink" Target="https://github.com/Break-Eat-APP/flaix-expert/blob/e847e752747b612abb5b16d8de499b4d3e2ab82c/docs/avancement.md" TargetMode="External"/><Relationship Id="rIdlg1juq5oevu2_udv459vp" Type="http://schemas.openxmlformats.org/officeDocument/2006/relationships/hyperlink" Target="https://github.com/Break-Eat-APP/flaix-expert/blob/e847e752747b612abb5b16d8de499b4d3e2ab82c/docs/flaix-gestion-dossier-projet.md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20 — Factures fournisseurs</dc:title>
  <dc:creator>FlaiX Expert</dc:creator>
  <cp:lastModifiedBy>Un-named</cp:lastModifiedBy>
  <cp:revision>1</cp:revision>
  <dcterms:created xsi:type="dcterms:W3CDTF">2026-10-21T17:07:57.320Z</dcterms:created>
  <dcterms:modified xsi:type="dcterms:W3CDTF">2026-10-21T17:07:57.320Z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