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Phase 73 — Achats, Ingrédients à part, raccourci de clôture ; facture qui entre en réserve ; export pour le comptable</w:t>
      </w:r>
    </w:p>
    <w:p>
      <w:pPr>
        <w:pBdr>
          <w:left w:val="single" w:color="4D04F4" w:sz="18" w:space="6"/>
        </w:pBdr>
        <w:shd w:fill="F6F3FF" w:color="auto" w:val="clear"/>
      </w:pPr>
      <w:r>
        <w:t xml:space="preserve">FlaiX Expert · dossier de développement · généré le 2026-10-25 depuis le dépôt </w:t>
      </w:r>
      <w:hyperlink w:history="1" r:id="rIduiq09lwjagrngbajw0p9g">
        <w:r>
          <w:rPr>
            <w:rStyle w:val="Hyperlink"/>
          </w:rPr>
          <w:t xml:space="preserve">Break-Eat-APP/flaix-expert</w:t>
        </w:r>
      </w:hyperlink>
      <w:r>
        <w:t xml:space="preserve">. Règles du projet : </w:t>
      </w:r>
      <w:r>
        <w:rPr>
          <w:rFonts w:ascii="Consolas" w:cs="Consolas" w:eastAsia="Consolas" w:hAnsi="Consolas"/>
          <w:color w:val="3B2F8F"/>
          <w:sz w:val="18"/>
          <w:szCs w:val="18"/>
        </w:rPr>
        <w:t xml:space="preserve">AGENTS.md</w:t>
      </w:r>
      <w: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tblHeader/>
        </w:trPr>
        <w:tc>
          <w:tcPr>
            <w:tcW w:type="dxa" w:w="4819"/>
            <w:tcBorders>
              <w:top w:val="single" w:color="D9D3F7" w:sz="4"/>
              <w:left w:val="single" w:color="D9D3F7" w:sz="4"/>
              <w:bottom w:val="single" w:color="D9D3F7" w:sz="4"/>
              <w:right w:val="single" w:color="D9D3F7" w:sz="4"/>
            </w:tcBorders>
            <w:shd w:fill="EFEAFE" w:color="auto" w:val="clear"/>
            <w:tcMar>
              <w:top w:type="dxa" w:w="50"/>
              <w:left w:type="dxa" w:w="90"/>
              <w:bottom w:type="dxa" w:w="50"/>
              <w:right w:type="dxa" w:w="90"/>
            </w:tcMar>
          </w:tcPr>
          <w:p/>
        </w:tc>
        <w:tc>
          <w:tcPr>
            <w:tcW w:type="dxa" w:w="4819"/>
            <w:tcBorders>
              <w:top w:val="single" w:color="D9D3F7" w:sz="4"/>
              <w:left w:val="single" w:color="D9D3F7" w:sz="4"/>
              <w:bottom w:val="single" w:color="D9D3F7" w:sz="4"/>
              <w:right w:val="single" w:color="D9D3F7" w:sz="4"/>
            </w:tcBorders>
            <w:shd w:fill="EFEAFE" w:color="auto" w:val="clear"/>
            <w:tcMar>
              <w:top w:type="dxa" w:w="50"/>
              <w:left w:type="dxa" w:w="90"/>
              <w:bottom w:type="dxa" w:w="50"/>
              <w:right w:type="dxa" w:w="90"/>
            </w:tcMar>
          </w:tcPr>
          <w:p/>
        </w:tc>
      </w:tr>
      <w:tr>
        <w:trPr>
          <w:tblHeader w:val="false"/>
        </w:trPr>
        <w:tc>
          <w:tcPr>
            <w:tcW w:type="dxa" w:w="4819"/>
            <w:tcBorders>
              <w:top w:val="single" w:color="D9D3F7" w:sz="4"/>
              <w:left w:val="single" w:color="D9D3F7" w:sz="4"/>
              <w:bottom w:val="single" w:color="D9D3F7" w:sz="4"/>
              <w:right w:val="single" w:color="D9D3F7" w:sz="4"/>
            </w:tcBorders>
            <w:tcMar>
              <w:top w:type="dxa" w:w="50"/>
              <w:left w:type="dxa" w:w="90"/>
              <w:bottom w:type="dxa" w:w="50"/>
              <w:right w:type="dxa" w:w="90"/>
            </w:tcMar>
          </w:tcPr>
          <w:p>
            <w:r>
              <w:rPr>
                <w:sz w:val="18"/>
                <w:szCs w:val="18"/>
              </w:rPr>
              <w:t xml:space="preserve">Dates</w:t>
            </w:r>
          </w:p>
        </w:tc>
        <w:tc>
          <w:tcPr>
            <w:tcW w:type="dxa" w:w="4819"/>
            <w:tcBorders>
              <w:top w:val="single" w:color="D9D3F7" w:sz="4"/>
              <w:left w:val="single" w:color="D9D3F7" w:sz="4"/>
              <w:bottom w:val="single" w:color="D9D3F7" w:sz="4"/>
              <w:right w:val="single" w:color="D9D3F7" w:sz="4"/>
            </w:tcBorders>
            <w:tcMar>
              <w:top w:type="dxa" w:w="50"/>
              <w:left w:type="dxa" w:w="90"/>
              <w:bottom w:type="dxa" w:w="50"/>
              <w:right w:type="dxa" w:w="90"/>
            </w:tcMar>
          </w:tcPr>
          <w:p>
            <w:r>
              <w:rPr>
                <w:sz w:val="18"/>
                <w:szCs w:val="18"/>
              </w:rPr>
              <w:t xml:space="preserve">2026-10-23</w:t>
            </w:r>
          </w:p>
        </w:tc>
      </w:tr>
      <w:tr>
        <w:trPr>
          <w:tblHeader w:val="false"/>
        </w:trPr>
        <w:tc>
          <w:tcPr>
            <w:tcW w:type="dxa" w:w="4819"/>
            <w:tcBorders>
              <w:top w:val="single" w:color="D9D3F7" w:sz="4"/>
              <w:left w:val="single" w:color="D9D3F7" w:sz="4"/>
              <w:bottom w:val="single" w:color="D9D3F7" w:sz="4"/>
              <w:right w:val="single" w:color="D9D3F7" w:sz="4"/>
            </w:tcBorders>
            <w:tcMar>
              <w:top w:type="dxa" w:w="50"/>
              <w:left w:type="dxa" w:w="90"/>
              <w:bottom w:type="dxa" w:w="50"/>
              <w:right w:type="dxa" w:w="90"/>
            </w:tcMar>
          </w:tcPr>
          <w:p>
            <w:r>
              <w:rPr>
                <w:sz w:val="18"/>
                <w:szCs w:val="18"/>
              </w:rPr>
              <w:t xml:space="preserve">Décision</w:t>
            </w:r>
          </w:p>
        </w:tc>
        <w:tc>
          <w:tcPr>
            <w:tcW w:type="dxa" w:w="4819"/>
            <w:tcBorders>
              <w:top w:val="single" w:color="D9D3F7" w:sz="4"/>
              <w:left w:val="single" w:color="D9D3F7" w:sz="4"/>
              <w:bottom w:val="single" w:color="D9D3F7" w:sz="4"/>
              <w:right w:val="single" w:color="D9D3F7" w:sz="4"/>
            </w:tcBorders>
            <w:tcMar>
              <w:top w:type="dxa" w:w="50"/>
              <w:left w:type="dxa" w:w="90"/>
              <w:bottom w:type="dxa" w:w="50"/>
              <w:right w:type="dxa" w:w="90"/>
            </w:tcMar>
          </w:tcPr>
          <w:p>
            <w:r>
              <w:rPr>
                <w:sz w:val="18"/>
                <w:szCs w:val="18"/>
              </w:rPr>
              <w:t xml:space="preserve">dossier projet §15.172</w:t>
            </w:r>
          </w:p>
        </w:tc>
      </w:tr>
      <w:tr>
        <w:trPr>
          <w:tblHeader w:val="false"/>
        </w:trPr>
        <w:tc>
          <w:tcPr>
            <w:tcW w:type="dxa" w:w="4819"/>
            <w:tcBorders>
              <w:top w:val="single" w:color="D9D3F7" w:sz="4"/>
              <w:left w:val="single" w:color="D9D3F7" w:sz="4"/>
              <w:bottom w:val="single" w:color="D9D3F7" w:sz="4"/>
              <w:right w:val="single" w:color="D9D3F7" w:sz="4"/>
            </w:tcBorders>
            <w:tcMar>
              <w:top w:type="dxa" w:w="50"/>
              <w:left w:type="dxa" w:w="90"/>
              <w:bottom w:type="dxa" w:w="50"/>
              <w:right w:type="dxa" w:w="90"/>
            </w:tcMar>
          </w:tcPr>
          <w:p>
            <w:r>
              <w:rPr>
                <w:sz w:val="18"/>
                <w:szCs w:val="18"/>
              </w:rPr>
              <w:t xml:space="preserve">État</w:t>
            </w:r>
          </w:p>
        </w:tc>
        <w:tc>
          <w:tcPr>
            <w:tcW w:type="dxa" w:w="4819"/>
            <w:tcBorders>
              <w:top w:val="single" w:color="D9D3F7" w:sz="4"/>
              <w:left w:val="single" w:color="D9D3F7" w:sz="4"/>
              <w:bottom w:val="single" w:color="D9D3F7" w:sz="4"/>
              <w:right w:val="single" w:color="D9D3F7" w:sz="4"/>
            </w:tcBorders>
            <w:tcMar>
              <w:top w:type="dxa" w:w="50"/>
              <w:left w:type="dxa" w:w="90"/>
              <w:bottom w:type="dxa" w:w="50"/>
              <w:right w:type="dxa" w:w="90"/>
            </w:tcMar>
          </w:tcPr>
          <w:p>
            <w:r>
              <w:rPr>
                <w:sz w:val="18"/>
                <w:szCs w:val="18"/>
              </w:rPr>
              <w:t xml:space="preserve">livrée, tests au vert au moment du commit</w:t>
            </w:r>
          </w:p>
        </w:tc>
      </w:tr>
      <w:tr>
        <w:trPr>
          <w:tblHeader w:val="false"/>
        </w:trPr>
        <w:tc>
          <w:tcPr>
            <w:tcW w:type="dxa" w:w="4819"/>
            <w:tcBorders>
              <w:top w:val="single" w:color="D9D3F7" w:sz="4"/>
              <w:left w:val="single" w:color="D9D3F7" w:sz="4"/>
              <w:bottom w:val="single" w:color="D9D3F7" w:sz="4"/>
              <w:right w:val="single" w:color="D9D3F7" w:sz="4"/>
            </w:tcBorders>
            <w:tcMar>
              <w:top w:type="dxa" w:w="50"/>
              <w:left w:type="dxa" w:w="90"/>
              <w:bottom w:type="dxa" w:w="50"/>
              <w:right w:type="dxa" w:w="90"/>
            </w:tcMar>
          </w:tcPr>
          <w:p>
            <w:r>
              <w:rPr>
                <w:sz w:val="18"/>
                <w:szCs w:val="18"/>
              </w:rPr>
              <w:t xml:space="preserve">Commits</w:t>
            </w:r>
          </w:p>
        </w:tc>
        <w:tc>
          <w:tcPr>
            <w:tcW w:type="dxa" w:w="4819"/>
            <w:tcBorders>
              <w:top w:val="single" w:color="D9D3F7" w:sz="4"/>
              <w:left w:val="single" w:color="D9D3F7" w:sz="4"/>
              <w:bottom w:val="single" w:color="D9D3F7" w:sz="4"/>
              <w:right w:val="single" w:color="D9D3F7" w:sz="4"/>
            </w:tcBorders>
            <w:tcMar>
              <w:top w:type="dxa" w:w="50"/>
              <w:left w:type="dxa" w:w="90"/>
              <w:bottom w:type="dxa" w:w="50"/>
              <w:right w:type="dxa" w:w="90"/>
            </w:tcMar>
          </w:tcPr>
          <w:p>
            <w:r>
              <w:rPr>
                <w:sz w:val="18"/>
                <w:szCs w:val="18"/>
              </w:rPr>
              <w:t xml:space="preserve">4</w:t>
            </w:r>
          </w:p>
        </w:tc>
      </w:tr>
    </w:tbl>
    <w:p/>
    <w:p>
      <w:pPr>
        <w:pStyle w:val="Heading2"/>
      </w:pPr>
      <w:r>
        <w:t xml:space="preserve">1. Ce qui a été décidé, et pourquoi</w:t>
      </w:r>
    </w:p>
    <w:p>
      <w:pPr>
        <w:pStyle w:val="Heading3"/>
      </w:pPr>
      <w:r>
        <w:t xml:space="preserve">15.172 Achats, Ingrédients à part, raccourci de clôture ; facture qui entre en réserve ; export pour le comptable (2026-10-23)</w:t>
      </w:r>
    </w:p>
    <w:p>
      <w:r>
        <w:rPr>
          <w:b/>
          <w:bCs/>
        </w:rPr>
        <w:t xml:space="preserve">Demande de Rémi</w:t>
      </w:r>
      <w:r>
        <w:t xml:space="preserve"> (2026-10-23) : </w:t>
      </w:r>
      <w:r>
        <w:rPr>
          <w:i/>
          <w:iCs/>
        </w:rPr>
        <w:t xml:space="preserve">« clôture de caisse plus en avant dans la section En direct… les ingrédients séparés de la gestion stock, laissons le stock pur et compréhensible… lire une facture de fournisseur automatiquement pour qu'elle rentre en réserve principale ?… suivi de chaque facture payée ou pas, télécharger par période les factures en PDF pour la comptabilité… comment activer les notifications ?… le prix fournisseur, peut-être les mettre ailleurs. Le but : comprendre facilement le logiciel sans trop chercher. »</w:t>
      </w:r>
      <w:r>
        <w:t xml:space="preserve"> Choix de Rémi : Achats et Ingrédients à part ; clôture : « juste un raccourci » ; factures : d'abord sans IA ; factures concernées : fournisseurs reçues et événements privés.</w:t>
      </w:r>
    </w:p>
    <w:p>
      <w:r>
        <w:rPr>
          <w:b/>
          <w:bCs/>
        </w:rPr>
        <w:t xml:space="preserve">Décisions et réalisation</w:t>
      </w:r>
      <w:r>
        <w:t xml:space="preserve"> :</w:t>
      </w:r>
    </w:p>
    <w:p>
      <w:pPr>
        <w:pStyle w:val="ListParagraph"/>
        <w:numPr>
          <w:ilvl w:val="0"/>
          <w:numId w:val="2"/>
        </w:numPr>
      </w:pPr>
      <w:r>
        <w:rPr>
          <w:b/>
          <w:bCs/>
        </w:rPr>
        <w:t xml:space="preserve">En direct</w:t>
      </w:r>
      <w:r>
        <w:t xml:space="preserve"> : bouton rouge « Clôturer la soirée » pendant un événement ouvert, vers Clôtures (les contrôles restent ceux de Clôtures).</w:t>
      </w:r>
    </w:p>
    <w:p>
      <w:pPr>
        <w:pStyle w:val="ListParagraph"/>
        <w:numPr>
          <w:ilvl w:val="0"/>
          <w:numId w:val="2"/>
        </w:numPr>
      </w:pPr>
      <w:r>
        <w:rPr>
          <w:b/>
          <w:bCs/>
        </w:rPr>
        <w:t xml:space="preserve">Menu</w:t>
      </w:r>
      <w:r>
        <w:t xml:space="preserve"> : « Achats » remplace « Factures » et regroupe trois onglets — Factures, Livraisons (le formulaire de livraison sorti de la réserve, et les dernières livraisons), Prix fournisseurs ; visible avec l'option Factures ou l'option Stock (l'onglet suit l'option). « Ingrédients » devient une page du menu (réserve, mise en place, comptage des ingrédients suivis). </w:t>
      </w:r>
      <w:r>
        <w:rPr>
          <w:b/>
          <w:bCs/>
        </w:rPr>
        <w:t xml:space="preserve">Stock</w:t>
      </w:r>
      <w:r>
        <w:t xml:space="preserve"> ne garde que les produits, en 4 étapes ; la réserve renvoie vers Achats pour une livraison. L'adresse /factures mène à Achats › Factures.</w:t>
      </w:r>
    </w:p>
    <w:p>
      <w:pPr>
        <w:pStyle w:val="ListParagraph"/>
        <w:numPr>
          <w:ilvl w:val="0"/>
          <w:numId w:val="2"/>
        </w:numPr>
      </w:pPr>
      <w:r>
        <w:rPr>
          <w:b/>
          <w:bCs/>
        </w:rPr>
        <w:t xml:space="preserve">Facture validée → réserve</w:t>
      </w:r>
      <w:r>
        <w:t xml:space="preserve"> : à la validation, une case (cochée par défaut) fait entrer en réserve centrale chaque produit de la facture sans livraison rapprochée : une livraison au prix et à la date de la facture, coût moyen pondéré recalculé (fonction </w:t>
      </w:r>
      <w:r>
        <w:rPr>
          <w:rFonts w:ascii="Consolas" w:cs="Consolas" w:eastAsia="Consolas" w:hAnsi="Consolas"/>
          <w:color w:val="3B2F8F"/>
          <w:sz w:val="18"/>
          <w:szCs w:val="18"/>
        </w:rPr>
        <w:t xml:space="preserve">enregistrerLivraison</w:t>
      </w:r>
      <w:r>
        <w:t xml:space="preserve">, commune avec la saisie d'une livraison), rapprochée de sa ligne ; un produit fabriqué (recette) ne se livre pas. Sans la case, la règle d'avant (motif exigé) demeure. Journal : liste des produits entrés.</w:t>
      </w:r>
    </w:p>
    <w:p>
      <w:pPr>
        <w:pStyle w:val="ListParagraph"/>
        <w:numPr>
          <w:ilvl w:val="0"/>
          <w:numId w:val="2"/>
        </w:numPr>
      </w:pPr>
      <w:r>
        <w:rPr>
          <w:b/>
          <w:bCs/>
        </w:rPr>
        <w:t xml:space="preserve">Export pour le comptable</w:t>
      </w:r>
      <w:r>
        <w:t xml:space="preserve"> (Achats › Factures › « Pour le comptable », mois précédent par défaut) : un zip </w:t>
      </w:r>
      <w:r>
        <w:rPr>
          <w:rFonts w:ascii="Consolas" w:cs="Consolas" w:eastAsia="Consolas" w:hAnsi="Consolas"/>
          <w:color w:val="3B2F8F"/>
          <w:sz w:val="18"/>
          <w:szCs w:val="18"/>
        </w:rPr>
        <w:t xml:space="preserve">factures-AAAA-MM-JJ-au-AAAA-MM-JJ.zip</w:t>
      </w:r>
      <w:r>
        <w:t xml:space="preserve"> — </w:t>
      </w:r>
      <w:r>
        <w:rPr>
          <w:rFonts w:ascii="Consolas" w:cs="Consolas" w:eastAsia="Consolas" w:hAnsi="Consolas"/>
          <w:color w:val="3B2F8F"/>
          <w:sz w:val="18"/>
          <w:szCs w:val="18"/>
        </w:rPr>
        <w:t xml:space="preserve">achats/</w:t>
      </w:r>
      <w:r>
        <w:t xml:space="preserve"> : la pièce jointe (PDF ou photo) de chaque facture fournisseur datée de la période ; </w:t>
      </w:r>
      <w:r>
        <w:rPr>
          <w:rFonts w:ascii="Consolas" w:cs="Consolas" w:eastAsia="Consolas" w:hAnsi="Consolas"/>
          <w:color w:val="3B2F8F"/>
          <w:sz w:val="18"/>
          <w:szCs w:val="18"/>
        </w:rPr>
        <w:t xml:space="preserve">ventes/</w:t>
      </w:r>
      <w:r>
        <w:t xml:space="preserve"> : chaque facture d'événement privé émise sur la période, en PDF fabriqué depuis son contenu scellé (</w:t>
      </w:r>
      <w:r>
        <w:rPr>
          <w:rFonts w:ascii="Consolas" w:cs="Consolas" w:eastAsia="Consolas" w:hAnsi="Consolas"/>
          <w:color w:val="3B2F8F"/>
          <w:sz w:val="18"/>
          <w:szCs w:val="18"/>
        </w:rPr>
        <w:t xml:space="preserve">pdf-facture.ts</w:t>
      </w:r>
      <w:r>
        <w:t xml:space="preserve">, pdf-lib, Helvetica) ; </w:t>
      </w:r>
      <w:r>
        <w:rPr>
          <w:rFonts w:ascii="Consolas" w:cs="Consolas" w:eastAsia="Consolas" w:hAnsi="Consolas"/>
          <w:color w:val="3B2F8F"/>
          <w:sz w:val="18"/>
          <w:szCs w:val="18"/>
        </w:rPr>
        <w:t xml:space="preserve">recapitulatif.csv</w:t>
      </w:r>
      <w:r>
        <w:t xml:space="preserve"> (Excel : « ; », virgule décimale, BOM) : type, date, numéro, fournisseur ou client, HT, TVA et TTC (ventes), statut, date de paiement, pièce. Journalisé (</w:t>
      </w:r>
      <w:r>
        <w:rPr>
          <w:rFonts w:ascii="Consolas" w:cs="Consolas" w:eastAsia="Consolas" w:hAnsi="Consolas"/>
          <w:color w:val="3B2F8F"/>
          <w:sz w:val="18"/>
          <w:szCs w:val="18"/>
        </w:rPr>
        <w:t xml:space="preserve">factures_exportees</w:t>
      </w:r>
      <w:r>
        <w:t xml:space="preserve">). Dépendances ajoutées : fflate 0.8.3, pdf-lib 1.17.1.</w:t>
      </w:r>
    </w:p>
    <w:p>
      <w:pPr>
        <w:pStyle w:val="ListParagraph"/>
        <w:numPr>
          <w:ilvl w:val="0"/>
          <w:numId w:val="2"/>
        </w:numPr>
      </w:pPr>
      <w:r>
        <w:rPr>
          <w:b/>
          <w:bCs/>
        </w:rPr>
        <w:t xml:space="preserve">Lecture automatique des factures (IA)</w:t>
      </w:r>
      <w:r>
        <w:t xml:space="preserve"> : plus tard, une fois le service choisi avec Rémi (coût à la page, envoi de la facture à un tiers) ; la saisie validée par le directeur restera obligatoire.</w:t>
      </w:r>
    </w:p>
    <w:p>
      <w:pPr>
        <w:pStyle w:val="ListParagraph"/>
        <w:numPr>
          <w:ilvl w:val="0"/>
          <w:numId w:val="2"/>
        </w:numPr>
      </w:pPr>
      <w:r>
        <w:rPr>
          <w:b/>
          <w:bCs/>
        </w:rPr>
        <w:t xml:space="preserve">Notifications</w:t>
      </w:r>
      <w:r>
        <w:t xml:space="preserve"> (réponse à Rémi, rien de changé) : Paramètres › Notifications › « Activer sur cet appareil » sur chaque téléphone ; sur iPhone, ajouter d'abord FlaiX Expert à l'écran d'accueil (Safari › Partager) et l'ouvrir par son icône. Ruptures et stock bas pendant l'événement, brief de fin de soirée ; rapport de soirée par e-mail.</w:t>
      </w:r>
    </w:p>
    <w:p>
      <w:r>
        <w:rPr>
          <w:b/>
          <w:bCs/>
        </w:rPr>
        <w:t xml:space="preserve">Tests</w:t>
      </w:r>
      <w:r>
        <w:t xml:space="preserve"> : serveur (facture → réserve 2, export 2, factures, stock), écrans 102 (menu : Achats et Ingrédients) ; suite du serveur relancée fichier par fichier ; types et construction. Vu dans le navigateur en local : Achats (Factures et l'encadré pour le comptable, Livraisons), Ingrédients, Stock. Le PDF n'a pas pu être regardé à l'écran (le navigateur intégré n'affiche pas les PDF) : à vérifier sur le premier export réel.</w:t>
      </w:r>
    </w:p>
    <w:p>
      <w:pPr>
        <w:pStyle w:val="Heading2"/>
      </w:pPr>
      <w:r>
        <w:t xml:space="preserve">2. Ce qui a été construit — commits</w:t>
      </w:r>
    </w:p>
    <w:p>
      <w:pPr>
        <w:pStyle w:val="ListParagraph"/>
        <w:numPr>
          <w:ilvl w:val="0"/>
          <w:numId w:val="2"/>
        </w:numPr>
      </w:pPr>
      <w:hyperlink w:history="1" r:id="rIdtsmkdlzmoy8q39r4hhtdg">
        <w:r>
          <w:rPr>
            <w:rStyle w:val="Hyperlink"/>
          </w:rPr>
          <w:t xml:space="preserve">8aa91c8</w:t>
        </w:r>
      </w:hyperlink>
      <w:r>
        <w:t xml:space="preserve"> — 2026-10-23 — En direct : raccourci « Clôturer la soirée » vers Clôtures (§15.172)</w:t>
      </w:r>
    </w:p>
    <w:p>
      <w:pPr>
        <w:pStyle w:val="ListParagraph"/>
        <w:numPr>
          <w:ilvl w:val="0"/>
          <w:numId w:val="2"/>
        </w:numPr>
      </w:pPr>
      <w:hyperlink w:history="1" r:id="rIdpkmfa0ei4yf2hmkqhrv5c">
        <w:r>
          <w:rPr>
            <w:rStyle w:val="Hyperlink"/>
          </w:rPr>
          <w:t xml:space="preserve">e521638</w:t>
        </w:r>
      </w:hyperlink>
      <w:r>
        <w:t xml:space="preserve"> — 2026-10-23 — Menus : Achats (factures, livraisons, prix fournisseurs) et Ingrédients à part ; Stock ne garde que les produits (§15.172)</w:t>
      </w:r>
    </w:p>
    <w:p>
      <w:pPr>
        <w:pStyle w:val="ListParagraph"/>
        <w:numPr>
          <w:ilvl w:val="0"/>
          <w:numId w:val="2"/>
        </w:numPr>
      </w:pPr>
      <w:hyperlink w:history="1" r:id="rIdzokgj3wp0cwpqjvrxto98">
        <w:r>
          <w:rPr>
            <w:rStyle w:val="Hyperlink"/>
          </w:rPr>
          <w:t xml:space="preserve">e3f7ec6</w:t>
        </w:r>
      </w:hyperlink>
      <w:r>
        <w:t xml:space="preserve"> — 2026-10-23 — Facture validée : ses produits entrent en réserve centrale (§15.172) ; avancement</w:t>
      </w:r>
    </w:p>
    <w:p>
      <w:pPr>
        <w:pStyle w:val="ListParagraph"/>
        <w:numPr>
          <w:ilvl w:val="0"/>
          <w:numId w:val="2"/>
        </w:numPr>
      </w:pPr>
      <w:hyperlink w:history="1" r:id="rIdsojn8bnxsqq9zloypk1f9">
        <w:r>
          <w:rPr>
            <w:rStyle w:val="Hyperlink"/>
          </w:rPr>
          <w:t xml:space="preserve">269beca</w:t>
        </w:r>
      </w:hyperlink>
      <w:r>
        <w:t xml:space="preserve"> — 2026-10-23 — Achats : export des factures d'une période pour le comptable (§15.172)</w:t>
      </w:r>
    </w:p>
    <w:p>
      <w:pPr>
        <w:pStyle w:val="Heading2"/>
      </w:pPr>
      <w:r>
        <w:t xml:space="preserve">3. Fichiers, par couche</w:t>
      </w:r>
    </w:p>
    <w:p>
      <w:pPr>
        <w:pStyle w:val="Heading3"/>
      </w:pPr>
      <w:r>
        <w:t xml:space="preserve">Tests</w:t>
      </w:r>
    </w:p>
    <w:p>
      <w:pPr>
        <w:pStyle w:val="ListParagraph"/>
        <w:numPr>
          <w:ilvl w:val="0"/>
          <w:numId w:val="2"/>
        </w:numPr>
      </w:pPr>
      <w:r>
        <w:rPr>
          <w:rFonts w:ascii="Consolas" w:cs="Consolas" w:eastAsia="Consolas" w:hAnsi="Consolas"/>
          <w:color w:val="3B2F8F"/>
          <w:sz w:val="18"/>
          <w:szCs w:val="18"/>
        </w:rPr>
        <w:t xml:space="preserve">apps/api/test/export-factures.test.ts</w:t>
      </w:r>
      <w:r>
        <w:t xml:space="preserve"> — créé — </w:t>
      </w:r>
      <w:hyperlink w:history="1" r:id="rIdbj56zde8hluvl5pcvhqzo">
        <w:r>
          <w:rPr>
            <w:rStyle w:val="Hyperlink"/>
          </w:rPr>
          <w:t xml:space="preserve">voir sur GitHub</w:t>
        </w:r>
      </w:hyperlink>
    </w:p>
    <w:p>
      <w:pPr>
        <w:pStyle w:val="ListParagraph"/>
        <w:numPr>
          <w:ilvl w:val="0"/>
          <w:numId w:val="2"/>
        </w:numPr>
      </w:pPr>
      <w:r>
        <w:rPr>
          <w:rFonts w:ascii="Consolas" w:cs="Consolas" w:eastAsia="Consolas" w:hAnsi="Consolas"/>
          <w:color w:val="3B2F8F"/>
          <w:sz w:val="18"/>
          <w:szCs w:val="18"/>
        </w:rPr>
        <w:t xml:space="preserve">apps/api/test/facture-reserve.test.ts</w:t>
      </w:r>
      <w:r>
        <w:t xml:space="preserve"> — créé — </w:t>
      </w:r>
      <w:hyperlink w:history="1" r:id="rId8jfuaqj_np9kb01nc0spz">
        <w:r>
          <w:rPr>
            <w:rStyle w:val="Hyperlink"/>
          </w:rPr>
          <w:t xml:space="preserve">voir sur GitHub</w:t>
        </w:r>
      </w:hyperlink>
    </w:p>
    <w:p>
      <w:pPr>
        <w:pStyle w:val="ListParagraph"/>
        <w:numPr>
          <w:ilvl w:val="0"/>
          <w:numId w:val="2"/>
        </w:numPr>
      </w:pPr>
      <w:r>
        <w:rPr>
          <w:rFonts w:ascii="Consolas" w:cs="Consolas" w:eastAsia="Consolas" w:hAnsi="Consolas"/>
          <w:color w:val="3B2F8F"/>
          <w:sz w:val="18"/>
          <w:szCs w:val="18"/>
        </w:rPr>
        <w:t xml:space="preserve">apps/web/src/composants/Coquille.test.ts</w:t>
      </w:r>
      <w:r>
        <w:t xml:space="preserve"> — modifié — </w:t>
      </w:r>
      <w:hyperlink w:history="1" r:id="rIdadpn1mofsnn_sidoycn7h">
        <w:r>
          <w:rPr>
            <w:rStyle w:val="Hyperlink"/>
          </w:rPr>
          <w:t xml:space="preserve">voir sur GitHub</w:t>
        </w:r>
      </w:hyperlink>
    </w:p>
    <w:p>
      <w:pPr>
        <w:pStyle w:val="Heading3"/>
      </w:pPr>
      <w:r>
        <w:t xml:space="preserve">Moteur de calcul (packages/domain)</w:t>
      </w:r>
    </w:p>
    <w:p>
      <w:pPr>
        <w:pStyle w:val="ListParagraph"/>
        <w:numPr>
          <w:ilvl w:val="0"/>
          <w:numId w:val="2"/>
        </w:numPr>
      </w:pPr>
      <w:r>
        <w:rPr>
          <w:rFonts w:ascii="Consolas" w:cs="Consolas" w:eastAsia="Consolas" w:hAnsi="Consolas"/>
          <w:color w:val="3B2F8F"/>
          <w:sz w:val="18"/>
          <w:szCs w:val="18"/>
        </w:rPr>
        <w:t xml:space="preserve">packages/domain/src/factures.ts</w:t>
      </w:r>
      <w:r>
        <w:t xml:space="preserve"> — modifié — </w:t>
      </w:r>
      <w:hyperlink w:history="1" r:id="rId8lwftktsppf5bhdagnrpx">
        <w:r>
          <w:rPr>
            <w:rStyle w:val="Hyperlink"/>
          </w:rPr>
          <w:t xml:space="preserve">voir sur GitHub</w:t>
        </w:r>
      </w:hyperlink>
    </w:p>
    <w:p>
      <w:pPr>
        <w:pStyle w:val="ListParagraph"/>
        <w:numPr>
          <w:ilvl w:val="0"/>
          <w:numId w:val="2"/>
        </w:numPr>
      </w:pPr>
      <w:r>
        <w:rPr>
          <w:rFonts w:ascii="Consolas" w:cs="Consolas" w:eastAsia="Consolas" w:hAnsi="Consolas"/>
          <w:color w:val="3B2F8F"/>
          <w:sz w:val="18"/>
          <w:szCs w:val="18"/>
        </w:rPr>
        <w:t xml:space="preserve">packages/domain/src/journal-technique.ts</w:t>
      </w:r>
      <w:r>
        <w:t xml:space="preserve"> — modifié — </w:t>
      </w:r>
      <w:hyperlink w:history="1" r:id="rId5bz4j6hh5pdvsy92e2rkv">
        <w:r>
          <w:rPr>
            <w:rStyle w:val="Hyperlink"/>
          </w:rPr>
          <w:t xml:space="preserve">voir sur GitHub</w:t>
        </w:r>
      </w:hyperlink>
    </w:p>
    <w:p>
      <w:pPr>
        <w:pStyle w:val="Heading3"/>
      </w:pPr>
      <w:r>
        <w:t xml:space="preserve">Serveur (apps/api)</w:t>
      </w:r>
    </w:p>
    <w:p>
      <w:pPr>
        <w:pStyle w:val="ListParagraph"/>
        <w:numPr>
          <w:ilvl w:val="0"/>
          <w:numId w:val="2"/>
        </w:numPr>
      </w:pPr>
      <w:r>
        <w:rPr>
          <w:rFonts w:ascii="Consolas" w:cs="Consolas" w:eastAsia="Consolas" w:hAnsi="Consolas"/>
          <w:color w:val="3B2F8F"/>
          <w:sz w:val="18"/>
          <w:szCs w:val="18"/>
        </w:rPr>
        <w:t xml:space="preserve">apps/api/package.json</w:t>
      </w:r>
      <w:r>
        <w:t xml:space="preserve"> — modifié — </w:t>
      </w:r>
      <w:hyperlink w:history="1" r:id="rIdue-mftel1nnly-p7lgrdy">
        <w:r>
          <w:rPr>
            <w:rStyle w:val="Hyperlink"/>
          </w:rPr>
          <w:t xml:space="preserve">voir sur GitHub</w:t>
        </w:r>
      </w:hyperlink>
    </w:p>
    <w:p>
      <w:pPr>
        <w:pStyle w:val="ListParagraph"/>
        <w:numPr>
          <w:ilvl w:val="0"/>
          <w:numId w:val="2"/>
        </w:numPr>
      </w:pPr>
      <w:r>
        <w:rPr>
          <w:rFonts w:ascii="Consolas" w:cs="Consolas" w:eastAsia="Consolas" w:hAnsi="Consolas"/>
          <w:color w:val="3B2F8F"/>
          <w:sz w:val="18"/>
          <w:szCs w:val="18"/>
        </w:rPr>
        <w:t xml:space="preserve">apps/api/src/pdf-facture.ts</w:t>
      </w:r>
      <w:r>
        <w:t xml:space="preserve"> — créé — </w:t>
      </w:r>
      <w:hyperlink w:history="1" r:id="rIdegzf_zoqn87v7aannioij">
        <w:r>
          <w:rPr>
            <w:rStyle w:val="Hyperlink"/>
          </w:rPr>
          <w:t xml:space="preserve">voir sur GitHub</w:t>
        </w:r>
      </w:hyperlink>
    </w:p>
    <w:p>
      <w:pPr>
        <w:pStyle w:val="ListParagraph"/>
        <w:numPr>
          <w:ilvl w:val="0"/>
          <w:numId w:val="2"/>
        </w:numPr>
      </w:pPr>
      <w:r>
        <w:rPr>
          <w:rFonts w:ascii="Consolas" w:cs="Consolas" w:eastAsia="Consolas" w:hAnsi="Consolas"/>
          <w:color w:val="3B2F8F"/>
          <w:sz w:val="18"/>
          <w:szCs w:val="18"/>
        </w:rPr>
        <w:t xml:space="preserve">apps/api/src/routes/evenements.ts</w:t>
      </w:r>
      <w:r>
        <w:t xml:space="preserve"> — modifié — </w:t>
      </w:r>
      <w:hyperlink w:history="1" r:id="rIdjk5ccsjb-ymgt-nj6nwbq">
        <w:r>
          <w:rPr>
            <w:rStyle w:val="Hyperlink"/>
          </w:rPr>
          <w:t xml:space="preserve">voir sur GitHub</w:t>
        </w:r>
      </w:hyperlink>
    </w:p>
    <w:p>
      <w:pPr>
        <w:pStyle w:val="ListParagraph"/>
        <w:numPr>
          <w:ilvl w:val="0"/>
          <w:numId w:val="2"/>
        </w:numPr>
      </w:pPr>
      <w:r>
        <w:rPr>
          <w:rFonts w:ascii="Consolas" w:cs="Consolas" w:eastAsia="Consolas" w:hAnsi="Consolas"/>
          <w:color w:val="3B2F8F"/>
          <w:sz w:val="18"/>
          <w:szCs w:val="18"/>
        </w:rPr>
        <w:t xml:space="preserve">apps/api/src/routes/factures.ts</w:t>
      </w:r>
      <w:r>
        <w:t xml:space="preserve"> — modifié — </w:t>
      </w:r>
      <w:hyperlink w:history="1" r:id="rIdwsghqd27czrgwjsclbtos">
        <w:r>
          <w:rPr>
            <w:rStyle w:val="Hyperlink"/>
          </w:rPr>
          <w:t xml:space="preserve">voir sur GitHub</w:t>
        </w:r>
      </w:hyperlink>
    </w:p>
    <w:p>
      <w:pPr>
        <w:pStyle w:val="ListParagraph"/>
        <w:numPr>
          <w:ilvl w:val="0"/>
          <w:numId w:val="2"/>
        </w:numPr>
      </w:pPr>
      <w:r>
        <w:rPr>
          <w:rFonts w:ascii="Consolas" w:cs="Consolas" w:eastAsia="Consolas" w:hAnsi="Consolas"/>
          <w:color w:val="3B2F8F"/>
          <w:sz w:val="18"/>
          <w:szCs w:val="18"/>
        </w:rPr>
        <w:t xml:space="preserve">apps/api/src/routes/stock.ts</w:t>
      </w:r>
      <w:r>
        <w:t xml:space="preserve"> — modifié — </w:t>
      </w:r>
      <w:hyperlink w:history="1" r:id="rIddank-2-yxhivxrc-p00qb">
        <w:r>
          <w:rPr>
            <w:rStyle w:val="Hyperlink"/>
          </w:rPr>
          <w:t xml:space="preserve">voir sur GitHub</w:t>
        </w:r>
      </w:hyperlink>
    </w:p>
    <w:p>
      <w:pPr>
        <w:pStyle w:val="Heading3"/>
      </w:pPr>
      <w:r>
        <w:t xml:space="preserve">Écrans (apps/web)</w:t>
      </w:r>
    </w:p>
    <w:p>
      <w:pPr>
        <w:pStyle w:val="ListParagraph"/>
        <w:numPr>
          <w:ilvl w:val="0"/>
          <w:numId w:val="2"/>
        </w:numPr>
      </w:pPr>
      <w:r>
        <w:rPr>
          <w:rFonts w:ascii="Consolas" w:cs="Consolas" w:eastAsia="Consolas" w:hAnsi="Consolas"/>
          <w:color w:val="3B2F8F"/>
          <w:sz w:val="18"/>
          <w:szCs w:val="18"/>
        </w:rPr>
        <w:t xml:space="preserve">apps/web/src/App.tsx</w:t>
      </w:r>
      <w:r>
        <w:t xml:space="preserve"> — modifié — </w:t>
      </w:r>
      <w:hyperlink w:history="1" r:id="rId35oapvfvrd_mpwndefbnk">
        <w:r>
          <w:rPr>
            <w:rStyle w:val="Hyperlink"/>
          </w:rPr>
          <w:t xml:space="preserve">voir sur GitHub</w:t>
        </w:r>
      </w:hyperlink>
    </w:p>
    <w:p>
      <w:pPr>
        <w:pStyle w:val="ListParagraph"/>
        <w:numPr>
          <w:ilvl w:val="0"/>
          <w:numId w:val="2"/>
        </w:numPr>
      </w:pPr>
      <w:r>
        <w:rPr>
          <w:rFonts w:ascii="Consolas" w:cs="Consolas" w:eastAsia="Consolas" w:hAnsi="Consolas"/>
          <w:color w:val="3B2F8F"/>
          <w:sz w:val="18"/>
          <w:szCs w:val="18"/>
        </w:rPr>
        <w:t xml:space="preserve">apps/web/src/composants/Coquille.tsx</w:t>
      </w:r>
      <w:r>
        <w:t xml:space="preserve"> — modifié — </w:t>
      </w:r>
      <w:hyperlink w:history="1" r:id="rIdg21kwsubv7gnlae48_xyj">
        <w:r>
          <w:rPr>
            <w:rStyle w:val="Hyperlink"/>
          </w:rPr>
          <w:t xml:space="preserve">voir sur GitHub</w:t>
        </w:r>
      </w:hyperlink>
    </w:p>
    <w:p>
      <w:pPr>
        <w:pStyle w:val="ListParagraph"/>
        <w:numPr>
          <w:ilvl w:val="0"/>
          <w:numId w:val="2"/>
        </w:numPr>
      </w:pPr>
      <w:r>
        <w:rPr>
          <w:rFonts w:ascii="Consolas" w:cs="Consolas" w:eastAsia="Consolas" w:hAnsi="Consolas"/>
          <w:color w:val="3B2F8F"/>
          <w:sz w:val="18"/>
          <w:szCs w:val="18"/>
        </w:rPr>
        <w:t xml:space="preserve">apps/web/src/pages/achats/Achats.tsx</w:t>
      </w:r>
      <w:r>
        <w:t xml:space="preserve"> — créé — </w:t>
      </w:r>
      <w:hyperlink w:history="1" r:id="rIdpmwgqmpwuqcac-bvpz6yf">
        <w:r>
          <w:rPr>
            <w:rStyle w:val="Hyperlink"/>
          </w:rPr>
          <w:t xml:space="preserve">voir sur GitHub</w:t>
        </w:r>
      </w:hyperlink>
    </w:p>
    <w:p>
      <w:pPr>
        <w:pStyle w:val="ListParagraph"/>
        <w:numPr>
          <w:ilvl w:val="0"/>
          <w:numId w:val="2"/>
        </w:numPr>
      </w:pPr>
      <w:r>
        <w:rPr>
          <w:rFonts w:ascii="Consolas" w:cs="Consolas" w:eastAsia="Consolas" w:hAnsi="Consolas"/>
          <w:color w:val="3B2F8F"/>
          <w:sz w:val="18"/>
          <w:szCs w:val="18"/>
        </w:rPr>
        <w:t xml:space="preserve">apps/web/src/pages/achats/Livraisons.tsx</w:t>
      </w:r>
      <w:r>
        <w:t xml:space="preserve"> — créé — </w:t>
      </w:r>
      <w:hyperlink w:history="1" r:id="rIdkevkvcemcrgvuryzoyqpl">
        <w:r>
          <w:rPr>
            <w:rStyle w:val="Hyperlink"/>
          </w:rPr>
          <w:t xml:space="preserve">voir sur GitHub</w:t>
        </w:r>
      </w:hyperlink>
    </w:p>
    <w:p>
      <w:pPr>
        <w:pStyle w:val="ListParagraph"/>
        <w:numPr>
          <w:ilvl w:val="0"/>
          <w:numId w:val="2"/>
        </w:numPr>
      </w:pPr>
      <w:r>
        <w:rPr>
          <w:rFonts w:ascii="Consolas" w:cs="Consolas" w:eastAsia="Consolas" w:hAnsi="Consolas"/>
          <w:color w:val="3B2F8F"/>
          <w:sz w:val="18"/>
          <w:szCs w:val="18"/>
        </w:rPr>
        <w:t xml:space="preserve">apps/web/src/pages/direct/EnDirect.test.tsx</w:t>
      </w:r>
      <w:r>
        <w:t xml:space="preserve"> — modifié — </w:t>
      </w:r>
      <w:hyperlink w:history="1" r:id="rIdhvaemqgxgikagyor4vcm2">
        <w:r>
          <w:rPr>
            <w:rStyle w:val="Hyperlink"/>
          </w:rPr>
          <w:t xml:space="preserve">voir sur GitHub</w:t>
        </w:r>
      </w:hyperlink>
    </w:p>
    <w:p>
      <w:pPr>
        <w:pStyle w:val="ListParagraph"/>
        <w:numPr>
          <w:ilvl w:val="0"/>
          <w:numId w:val="2"/>
        </w:numPr>
      </w:pPr>
      <w:r>
        <w:rPr>
          <w:rFonts w:ascii="Consolas" w:cs="Consolas" w:eastAsia="Consolas" w:hAnsi="Consolas"/>
          <w:color w:val="3B2F8F"/>
          <w:sz w:val="18"/>
          <w:szCs w:val="18"/>
        </w:rPr>
        <w:t xml:space="preserve">apps/web/src/pages/direct/EnDirect.tsx</w:t>
      </w:r>
      <w:r>
        <w:t xml:space="preserve"> — modifié — </w:t>
      </w:r>
      <w:hyperlink w:history="1" r:id="rIdtfnwes2ihznfldljhown3">
        <w:r>
          <w:rPr>
            <w:rStyle w:val="Hyperlink"/>
          </w:rPr>
          <w:t xml:space="preserve">voir sur GitHub</w:t>
        </w:r>
      </w:hyperlink>
    </w:p>
    <w:p>
      <w:pPr>
        <w:pStyle w:val="ListParagraph"/>
        <w:numPr>
          <w:ilvl w:val="0"/>
          <w:numId w:val="2"/>
        </w:numPr>
      </w:pPr>
      <w:r>
        <w:rPr>
          <w:rFonts w:ascii="Consolas" w:cs="Consolas" w:eastAsia="Consolas" w:hAnsi="Consolas"/>
          <w:color w:val="3B2F8F"/>
          <w:sz w:val="18"/>
          <w:szCs w:val="18"/>
        </w:rPr>
        <w:t xml:space="preserve">apps/web/src/pages/factures/Factures.tsx</w:t>
      </w:r>
      <w:r>
        <w:t xml:space="preserve"> — modifié — </w:t>
      </w:r>
      <w:hyperlink w:history="1" r:id="rIdjeuxp-egpvnhnss-xoxb8">
        <w:r>
          <w:rPr>
            <w:rStyle w:val="Hyperlink"/>
          </w:rPr>
          <w:t xml:space="preserve">voir sur GitHub</w:t>
        </w:r>
      </w:hyperlink>
    </w:p>
    <w:p>
      <w:pPr>
        <w:pStyle w:val="ListParagraph"/>
        <w:numPr>
          <w:ilvl w:val="0"/>
          <w:numId w:val="2"/>
        </w:numPr>
      </w:pPr>
      <w:r>
        <w:rPr>
          <w:rFonts w:ascii="Consolas" w:cs="Consolas" w:eastAsia="Consolas" w:hAnsi="Consolas"/>
          <w:color w:val="3B2F8F"/>
          <w:sz w:val="18"/>
          <w:szCs w:val="18"/>
        </w:rPr>
        <w:t xml:space="preserve">apps/web/src/pages/ingredients/Ingredients.tsx</w:t>
      </w:r>
      <w:r>
        <w:t xml:space="preserve"> — créé — </w:t>
      </w:r>
      <w:hyperlink w:history="1" r:id="rId-fbn1knnjfrkux1iowxig">
        <w:r>
          <w:rPr>
            <w:rStyle w:val="Hyperlink"/>
          </w:rPr>
          <w:t xml:space="preserve">voir sur GitHub</w:t>
        </w:r>
      </w:hyperlink>
    </w:p>
    <w:p>
      <w:pPr>
        <w:pStyle w:val="ListParagraph"/>
        <w:numPr>
          <w:ilvl w:val="0"/>
          <w:numId w:val="2"/>
        </w:numPr>
      </w:pPr>
      <w:r>
        <w:rPr>
          <w:rFonts w:ascii="Consolas" w:cs="Consolas" w:eastAsia="Consolas" w:hAnsi="Consolas"/>
          <w:color w:val="3B2F8F"/>
          <w:sz w:val="18"/>
          <w:szCs w:val="18"/>
        </w:rPr>
        <w:t xml:space="preserve">apps/web/src/pages/parametres/Recettes.tsx</w:t>
      </w:r>
      <w:r>
        <w:t xml:space="preserve"> — modifié — </w:t>
      </w:r>
      <w:hyperlink w:history="1" r:id="rId_1igfnndjo9r2jgxt9t3x">
        <w:r>
          <w:rPr>
            <w:rStyle w:val="Hyperlink"/>
          </w:rPr>
          <w:t xml:space="preserve">voir sur GitHub</w:t>
        </w:r>
      </w:hyperlink>
    </w:p>
    <w:p>
      <w:pPr>
        <w:pStyle w:val="ListParagraph"/>
        <w:numPr>
          <w:ilvl w:val="0"/>
          <w:numId w:val="2"/>
        </w:numPr>
      </w:pPr>
      <w:r>
        <w:rPr>
          <w:rFonts w:ascii="Consolas" w:cs="Consolas" w:eastAsia="Consolas" w:hAnsi="Consolas"/>
          <w:color w:val="3B2F8F"/>
          <w:sz w:val="18"/>
          <w:szCs w:val="18"/>
        </w:rPr>
        <w:t xml:space="preserve">apps/web/src/pages/stock/Stock.tsx</w:t>
      </w:r>
      <w:r>
        <w:t xml:space="preserve"> — modifié — </w:t>
      </w:r>
      <w:hyperlink w:history="1" r:id="rIdbkngsjip65zfpqj4wdsed">
        <w:r>
          <w:rPr>
            <w:rStyle w:val="Hyperlink"/>
          </w:rPr>
          <w:t xml:space="preserve">voir sur GitHub</w:t>
        </w:r>
      </w:hyperlink>
    </w:p>
    <w:p>
      <w:pPr>
        <w:pStyle w:val="ListParagraph"/>
        <w:numPr>
          <w:ilvl w:val="0"/>
          <w:numId w:val="2"/>
        </w:numPr>
      </w:pPr>
      <w:r>
        <w:rPr>
          <w:rFonts w:ascii="Consolas" w:cs="Consolas" w:eastAsia="Consolas" w:hAnsi="Consolas"/>
          <w:color w:val="3B2F8F"/>
          <w:sz w:val="18"/>
          <w:szCs w:val="18"/>
        </w:rPr>
        <w:t xml:space="preserve">apps/web/src/styles.css</w:t>
      </w:r>
      <w:r>
        <w:t xml:space="preserve"> — modifié — </w:t>
      </w:r>
      <w:hyperlink w:history="1" r:id="rIdv0pic9fxp0rosx9jbsom7">
        <w:r>
          <w:rPr>
            <w:rStyle w:val="Hyperlink"/>
          </w:rPr>
          <w:t xml:space="preserve">voir sur GitHub</w:t>
        </w:r>
      </w:hyperlink>
    </w:p>
    <w:p>
      <w:pPr>
        <w:pStyle w:val="Heading3"/>
      </w:pPr>
      <w:r>
        <w:t xml:space="preserve">Documentation</w:t>
      </w:r>
    </w:p>
    <w:p>
      <w:pPr>
        <w:pStyle w:val="ListParagraph"/>
        <w:numPr>
          <w:ilvl w:val="0"/>
          <w:numId w:val="2"/>
        </w:numPr>
      </w:pPr>
      <w:r>
        <w:rPr>
          <w:rFonts w:ascii="Consolas" w:cs="Consolas" w:eastAsia="Consolas" w:hAnsi="Consolas"/>
          <w:color w:val="3B2F8F"/>
          <w:sz w:val="18"/>
          <w:szCs w:val="18"/>
        </w:rPr>
        <w:t xml:space="preserve">docs/avancement.md</w:t>
      </w:r>
      <w:r>
        <w:t xml:space="preserve"> — modifié — </w:t>
      </w:r>
      <w:hyperlink w:history="1" r:id="rIduwzy-j_brb80neaqspygs">
        <w:r>
          <w:rPr>
            <w:rStyle w:val="Hyperlink"/>
          </w:rPr>
          <w:t xml:space="preserve">voir sur GitHub</w:t>
        </w:r>
      </w:hyperlink>
    </w:p>
    <w:p>
      <w:pPr>
        <w:pStyle w:val="Heading3"/>
      </w:pPr>
      <w:r>
        <w:t xml:space="preserve">Autres</w:t>
      </w:r>
    </w:p>
    <w:p>
      <w:pPr>
        <w:pStyle w:val="ListParagraph"/>
        <w:numPr>
          <w:ilvl w:val="0"/>
          <w:numId w:val="2"/>
        </w:numPr>
      </w:pPr>
      <w:r>
        <w:rPr>
          <w:rFonts w:ascii="Consolas" w:cs="Consolas" w:eastAsia="Consolas" w:hAnsi="Consolas"/>
          <w:color w:val="3B2F8F"/>
          <w:sz w:val="18"/>
          <w:szCs w:val="18"/>
        </w:rPr>
        <w:t xml:space="preserve">pnpm-lock.yaml</w:t>
      </w:r>
      <w:r>
        <w:t xml:space="preserve"> — modifié — </w:t>
      </w:r>
      <w:hyperlink w:history="1" r:id="rIdgmtkh3jmxjnuikvgqorxo">
        <w:r>
          <w:rPr>
            <w:rStyle w:val="Hyperlink"/>
          </w:rPr>
          <w:t xml:space="preserve">voir sur GitHub</w:t>
        </w:r>
      </w:hyperlink>
    </w:p>
    <w:p>
      <w:pPr>
        <w:pStyle w:val="Heading2"/>
      </w:pPr>
      <w:r>
        <w:t xml:space="preserve">4. Tests créés dans cette phase</w:t>
      </w:r>
    </w:p>
    <w:p>
      <w:pPr>
        <w:pStyle w:val="Heading3"/>
      </w:pPr>
      <w:r>
        <w:rPr>
          <w:rFonts w:ascii="Consolas" w:cs="Consolas" w:eastAsia="Consolas" w:hAnsi="Consolas"/>
          <w:color w:val="3B2F8F"/>
          <w:sz w:val="18"/>
          <w:szCs w:val="18"/>
        </w:rPr>
        <w:t xml:space="preserve">apps/api/test/facture-reserve.test.ts</w:t>
      </w:r>
    </w:p>
    <w:p>
      <w:pPr>
        <w:pStyle w:val="ListParagraph"/>
        <w:numPr>
          <w:ilvl w:val="0"/>
          <w:numId w:val="2"/>
        </w:numPr>
      </w:pPr>
      <w:r>
        <w:rPr>
          <w:b/>
          <w:bCs/>
        </w:rPr>
        <w:t xml:space="preserve">facture validée, produits entrés en réserve</w:t>
      </w:r>
    </w:p>
    <w:p>
      <w:pPr>
        <w:pStyle w:val="ListParagraph"/>
        <w:numPr>
          <w:ilvl w:val="1"/>
          <w:numId w:val="2"/>
        </w:numPr>
      </w:pPr>
      <w:r>
        <w:t xml:space="preserve">[F] sans la case : un produit sans livraison demande un motif, rien n'entre en réserve</w:t>
      </w:r>
    </w:p>
    <w:p>
      <w:pPr>
        <w:pStyle w:val="ListParagraph"/>
        <w:numPr>
          <w:ilvl w:val="1"/>
          <w:numId w:val="2"/>
        </w:numPr>
      </w:pPr>
      <w:r>
        <w:t xml:space="preserve">avec la case : 24 canettes entrent en réserve au prix et à la date de la facture, ligne rapprochée, facture validée</w:t>
      </w:r>
    </w:p>
    <w:p>
      <w:pPr>
        <w:pStyle w:val="ListParagraph"/>
        <w:numPr>
          <w:ilvl w:val="1"/>
          <w:numId w:val="2"/>
        </w:numPr>
      </w:pPr>
      <w:r>
        <w:t xml:space="preserve">correspondance apprise ; [F] colis oublié : alerte, validation refusée sans « J'ai vérifié », acceptée avec</w:t>
      </w:r>
    </w:p>
    <w:p>
      <w:pPr>
        <w:pStyle w:val="ListParagraph"/>
        <w:numPr>
          <w:ilvl w:val="1"/>
          <w:numId w:val="2"/>
        </w:numPr>
      </w:pPr>
      <w:r>
        <w:t xml:space="preserve">correspondance corrigée puis retirée (§15.174) : journalisée ; [F] inconnue : 404</w:t>
      </w:r>
    </w:p>
    <w:p>
      <w:pPr>
        <w:pStyle w:val="ListParagraph"/>
        <w:numPr>
          <w:ilvl w:val="1"/>
          <w:numId w:val="2"/>
        </w:numPr>
      </w:pPr>
      <w:r>
        <w:t xml:space="preserve">audit §15.175 — produit retiré sur une facture : la correspondance apprise suit ; [F] quantité × colis au-delà d'un mouvement : refusée clairement</w:t>
      </w:r>
    </w:p>
    <w:p>
      <w:pPr>
        <w:pStyle w:val="Heading3"/>
      </w:pPr>
      <w:r>
        <w:rPr>
          <w:rFonts w:ascii="Consolas" w:cs="Consolas" w:eastAsia="Consolas" w:hAnsi="Consolas"/>
          <w:color w:val="3B2F8F"/>
          <w:sz w:val="18"/>
          <w:szCs w:val="18"/>
        </w:rPr>
        <w:t xml:space="preserve">apps/api/test/export-factures.test.ts</w:t>
      </w:r>
    </w:p>
    <w:p>
      <w:pPr>
        <w:pStyle w:val="ListParagraph"/>
        <w:numPr>
          <w:ilvl w:val="0"/>
          <w:numId w:val="2"/>
        </w:numPr>
      </w:pPr>
      <w:r>
        <w:rPr>
          <w:b/>
          <w:bCs/>
        </w:rPr>
        <w:t xml:space="preserve">export des factures pour le comptable</w:t>
      </w:r>
    </w:p>
    <w:p>
      <w:pPr>
        <w:pStyle w:val="ListParagraph"/>
        <w:numPr>
          <w:ilvl w:val="1"/>
          <w:numId w:val="2"/>
        </w:numPr>
      </w:pPr>
      <w:r>
        <w:t xml:space="preserve">un zip : pièce du fournisseur, facture de vente en PDF, récapitulatif ; hors période absente ; journalisé</w:t>
      </w:r>
    </w:p>
    <w:p>
      <w:pPr>
        <w:pStyle w:val="ListParagraph"/>
        <w:numPr>
          <w:ilvl w:val="1"/>
          <w:numId w:val="2"/>
        </w:numPr>
      </w:pPr>
      <w:r>
        <w:t xml:space="preserve">[F] période à l'envers : refusée</w:t>
      </w:r>
    </w:p>
    <w:p>
      <w:pPr>
        <w:pStyle w:val="Heading2"/>
      </w:pPr>
      <w:r>
        <w:t xml:space="preserve">5. Pour reprendre ou vérifier cette phase</w:t>
      </w:r>
    </w:p>
    <w:p>
      <w:pPr>
        <w:pStyle w:val="ListParagraph"/>
        <w:numPr>
          <w:ilvl w:val="0"/>
          <w:numId w:val="3"/>
        </w:numPr>
      </w:pPr>
      <w:r>
        <w:rPr>
          <w:rFonts w:ascii="Consolas" w:cs="Consolas" w:eastAsia="Consolas" w:hAnsi="Consolas"/>
          <w:color w:val="3B2F8F"/>
          <w:sz w:val="18"/>
          <w:szCs w:val="18"/>
        </w:rPr>
        <w:t xml:space="preserve">pnpm install</w:t>
      </w:r>
      <w:r>
        <w:t xml:space="preserve">, </w:t>
      </w:r>
      <w:r>
        <w:rPr>
          <w:rFonts w:ascii="Consolas" w:cs="Consolas" w:eastAsia="Consolas" w:hAnsi="Consolas"/>
          <w:color w:val="3B2F8F"/>
          <w:sz w:val="18"/>
          <w:szCs w:val="18"/>
        </w:rPr>
        <w:t xml:space="preserve">pnpm db:up</w:t>
      </w:r>
      <w:r>
        <w:t xml:space="preserve"> (PostgreSQL local dans Docker), </w:t>
      </w:r>
      <w:r>
        <w:rPr>
          <w:rFonts w:ascii="Consolas" w:cs="Consolas" w:eastAsia="Consolas" w:hAnsi="Consolas"/>
          <w:color w:val="3B2F8F"/>
          <w:sz w:val="18"/>
          <w:szCs w:val="18"/>
        </w:rPr>
        <w:t xml:space="preserve">pnpm db:migrate</w:t>
      </w:r>
      <w:r>
        <w:t xml:space="preserve">.</w:t>
      </w:r>
    </w:p>
    <w:p>
      <w:pPr>
        <w:pStyle w:val="ListParagraph"/>
        <w:numPr>
          <w:ilvl w:val="0"/>
          <w:numId w:val="3"/>
        </w:numPr>
      </w:pPr>
      <w:r>
        <w:t xml:space="preserve">Tests contre la base : </w:t>
      </w:r>
      <w:r>
        <w:rPr>
          <w:rFonts w:ascii="Consolas" w:cs="Consolas" w:eastAsia="Consolas" w:hAnsi="Consolas"/>
          <w:color w:val="3B2F8F"/>
          <w:sz w:val="18"/>
          <w:szCs w:val="18"/>
        </w:rPr>
        <w:t xml:space="preserve">cd apps/api &amp;&amp; ./node_modules/.bin/vitest run test/facture-reserve.test.ts test/export-factures.test.ts</w:t>
      </w:r>
      <w:r>
        <w:t xml:space="preserve">.</w:t>
      </w:r>
    </w:p>
    <w:p>
      <w:pPr>
        <w:pStyle w:val="ListParagraph"/>
        <w:numPr>
          <w:ilvl w:val="0"/>
          <w:numId w:val="2"/>
        </w:numPr>
      </w:pPr>
      <w:r>
        <w:t xml:space="preserve">Avant toute modification : lire </w:t>
      </w:r>
      <w:r>
        <w:rPr>
          <w:rFonts w:ascii="Consolas" w:cs="Consolas" w:eastAsia="Consolas" w:hAnsi="Consolas"/>
          <w:color w:val="3B2F8F"/>
          <w:sz w:val="18"/>
          <w:szCs w:val="18"/>
        </w:rPr>
        <w:t xml:space="preserve">AGENTS.md</w:t>
      </w:r>
      <w:r>
        <w:t xml:space="preserve"> (règles et invariants), puis la section du dossier projet indiquée ci-dessus. Une migration appliquée ne se modifie jamais ; un refus de la base est voulu.</w:t>
      </w:r>
    </w:p>
    <w:p>
      <w:pPr>
        <w:pStyle w:val="ListParagraph"/>
        <w:numPr>
          <w:ilvl w:val="0"/>
          <w:numId w:val="2"/>
        </w:numPr>
      </w:pPr>
      <w:r>
        <w:t xml:space="preserve">Ordre de construction complet : </w:t>
      </w:r>
      <w:r>
        <w:rPr>
          <w:rFonts w:ascii="Consolas" w:cs="Consolas" w:eastAsia="Consolas" w:hAnsi="Consolas"/>
          <w:color w:val="3B2F8F"/>
          <w:sz w:val="18"/>
          <w:szCs w:val="18"/>
        </w:rPr>
        <w:t xml:space="preserve">docs/developpement/JOURNAL_DES_PHASES.md</w:t>
      </w:r>
      <w:r>
        <w:t xml:space="preserve"> ; où trouver quoi : </w:t>
      </w:r>
      <w:r>
        <w:rPr>
          <w:rFonts w:ascii="Consolas" w:cs="Consolas" w:eastAsia="Consolas" w:hAnsi="Consolas"/>
          <w:color w:val="3B2F8F"/>
          <w:sz w:val="18"/>
          <w:szCs w:val="18"/>
        </w:rPr>
        <w:t xml:space="preserve">docs/developpement/CARTE_DU_CODE.md</w:t>
      </w:r>
      <w:r>
        <w:t xml:space="preserve">.</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Page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color w:val="808080"/>
        <w:sz w:val="16"/>
        <w:szCs w:val="16"/>
      </w:rPr>
      <w:t xml:space="preserve">FlaiX Expert — dossier de développement — Phase 73 — Achats, Ingrédients à part, raccourci de clôture ; facture qui entre en réserve ; export pour le comptable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00" w:hanging="270"/>
      </w:pPr>
    </w:lvl>
  </w:abstractNum>
  <w:abstractNum w:abstractNumId="3"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pPr>
        <w:spacing w:after="100"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120"/>
      <w:outlineLvl w:val="0"/>
    </w:pPr>
    <w:rPr>
      <w:rFonts w:ascii="Calibri" w:cs="Calibri" w:eastAsia="Calibri" w:hAnsi="Calibri"/>
      <w:b/>
      <w:bCs/>
      <w:color w:val="4D04F4"/>
      <w:sz w:val="36"/>
      <w:szCs w:val="36"/>
    </w:rPr>
  </w:style>
  <w:style w:type="paragraph" w:styleId="Heading2">
    <w:name w:val="Heading 2"/>
    <w:basedOn w:val="Normal"/>
    <w:next w:val="Normal"/>
    <w:qFormat/>
    <w:pPr>
      <w:spacing w:after="120" w:before="280"/>
      <w:outlineLvl w:val="1"/>
    </w:pPr>
    <w:rPr>
      <w:rFonts w:ascii="Calibri" w:cs="Calibri" w:eastAsia="Calibri" w:hAnsi="Calibri"/>
      <w:b/>
      <w:bCs/>
      <w:color w:val="4D04F4"/>
      <w:sz w:val="28"/>
      <w:szCs w:val="28"/>
    </w:rPr>
  </w:style>
  <w:style w:type="paragraph" w:styleId="Heading3">
    <w:name w:val="Heading 3"/>
    <w:basedOn w:val="Normal"/>
    <w:next w:val="Normal"/>
    <w:qFormat/>
    <w:pPr>
      <w:spacing w:after="80" w:before="200"/>
      <w:outlineLvl w:val="2"/>
    </w:pPr>
    <w:rPr>
      <w:rFonts w:ascii="Calibri" w:cs="Calibri" w:eastAsia="Calibri" w:hAnsi="Calibri"/>
      <w:b/>
      <w:bCs/>
      <w:color w:val="2B2540"/>
      <w:sz w:val="24"/>
      <w:szCs w:val="24"/>
    </w:rPr>
  </w:style>
  <w:style w:type="paragraph" w:styleId="Heading4">
    <w:name w:val="Heading 4"/>
    <w:basedOn w:val="Normal"/>
    <w:next w:val="Normal"/>
    <w:qFormat/>
    <w:pPr>
      <w:spacing w:after="60" w:before="160"/>
      <w:outlineLvl w:val="3"/>
    </w:pPr>
    <w:rPr>
      <w:rFonts w:ascii="Calibri" w:cs="Calibri" w:eastAsia="Calibri" w:hAnsi="Calibri"/>
      <w:b/>
      <w:bCs/>
      <w:color w:val="2B25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uiq09lwjagrngbajw0p9g" Type="http://schemas.openxmlformats.org/officeDocument/2006/relationships/hyperlink" Target="https://github.com/Break-Eat-APP/flaix-expert" TargetMode="External"/><Relationship Id="rIdtsmkdlzmoy8q39r4hhtdg" Type="http://schemas.openxmlformats.org/officeDocument/2006/relationships/hyperlink" Target="https://github.com/Break-Eat-APP/flaix-expert/commit/8aa91c88b0c11f747157cebe5e896453830b0192" TargetMode="External"/><Relationship Id="rIdpkmfa0ei4yf2hmkqhrv5c" Type="http://schemas.openxmlformats.org/officeDocument/2006/relationships/hyperlink" Target="https://github.com/Break-Eat-APP/flaix-expert/commit/e5216385a9821425c1f4cd3d1907dbbc722975e1" TargetMode="External"/><Relationship Id="rIdzokgj3wp0cwpqjvrxto98" Type="http://schemas.openxmlformats.org/officeDocument/2006/relationships/hyperlink" Target="https://github.com/Break-Eat-APP/flaix-expert/commit/e3f7ec6be880641bcce20da04181cc78089235e5" TargetMode="External"/><Relationship Id="rIdsojn8bnxsqq9zloypk1f9" Type="http://schemas.openxmlformats.org/officeDocument/2006/relationships/hyperlink" Target="https://github.com/Break-Eat-APP/flaix-expert/commit/269beca65504c00298d03bbdb4703904021cbda3" TargetMode="External"/><Relationship Id="rIdbj56zde8hluvl5pcvhqzo" Type="http://schemas.openxmlformats.org/officeDocument/2006/relationships/hyperlink" Target="https://github.com/Break-Eat-APP/flaix-expert/blob/269beca65504c00298d03bbdb4703904021cbda3/apps/api/test/export-factures.test.ts" TargetMode="External"/><Relationship Id="rId8jfuaqj_np9kb01nc0spz" Type="http://schemas.openxmlformats.org/officeDocument/2006/relationships/hyperlink" Target="https://github.com/Break-Eat-APP/flaix-expert/blob/269beca65504c00298d03bbdb4703904021cbda3/apps/api/test/facture-reserve.test.ts" TargetMode="External"/><Relationship Id="rIdadpn1mofsnn_sidoycn7h" Type="http://schemas.openxmlformats.org/officeDocument/2006/relationships/hyperlink" Target="https://github.com/Break-Eat-APP/flaix-expert/blob/269beca65504c00298d03bbdb4703904021cbda3/apps/web/src/composants/Coquille.test.ts" TargetMode="External"/><Relationship Id="rId8lwftktsppf5bhdagnrpx" Type="http://schemas.openxmlformats.org/officeDocument/2006/relationships/hyperlink" Target="https://github.com/Break-Eat-APP/flaix-expert/blob/269beca65504c00298d03bbdb4703904021cbda3/packages/domain/src/factures.ts" TargetMode="External"/><Relationship Id="rId5bz4j6hh5pdvsy92e2rkv" Type="http://schemas.openxmlformats.org/officeDocument/2006/relationships/hyperlink" Target="https://github.com/Break-Eat-APP/flaix-expert/blob/269beca65504c00298d03bbdb4703904021cbda3/packages/domain/src/journal-technique.ts" TargetMode="External"/><Relationship Id="rIdue-mftel1nnly-p7lgrdy" Type="http://schemas.openxmlformats.org/officeDocument/2006/relationships/hyperlink" Target="https://github.com/Break-Eat-APP/flaix-expert/blob/269beca65504c00298d03bbdb4703904021cbda3/apps/api/package.json" TargetMode="External"/><Relationship Id="rIdegzf_zoqn87v7aannioij" Type="http://schemas.openxmlformats.org/officeDocument/2006/relationships/hyperlink" Target="https://github.com/Break-Eat-APP/flaix-expert/blob/269beca65504c00298d03bbdb4703904021cbda3/apps/api/src/pdf-facture.ts" TargetMode="External"/><Relationship Id="rIdjk5ccsjb-ymgt-nj6nwbq" Type="http://schemas.openxmlformats.org/officeDocument/2006/relationships/hyperlink" Target="https://github.com/Break-Eat-APP/flaix-expert/blob/269beca65504c00298d03bbdb4703904021cbda3/apps/api/src/routes/evenements.ts" TargetMode="External"/><Relationship Id="rIdwsghqd27czrgwjsclbtos" Type="http://schemas.openxmlformats.org/officeDocument/2006/relationships/hyperlink" Target="https://github.com/Break-Eat-APP/flaix-expert/blob/269beca65504c00298d03bbdb4703904021cbda3/apps/api/src/routes/factures.ts" TargetMode="External"/><Relationship Id="rIddank-2-yxhivxrc-p00qb" Type="http://schemas.openxmlformats.org/officeDocument/2006/relationships/hyperlink" Target="https://github.com/Break-Eat-APP/flaix-expert/blob/269beca65504c00298d03bbdb4703904021cbda3/apps/api/src/routes/stock.ts" TargetMode="External"/><Relationship Id="rId35oapvfvrd_mpwndefbnk" Type="http://schemas.openxmlformats.org/officeDocument/2006/relationships/hyperlink" Target="https://github.com/Break-Eat-APP/flaix-expert/blob/269beca65504c00298d03bbdb4703904021cbda3/apps/web/src/App.tsx" TargetMode="External"/><Relationship Id="rIdg21kwsubv7gnlae48_xyj" Type="http://schemas.openxmlformats.org/officeDocument/2006/relationships/hyperlink" Target="https://github.com/Break-Eat-APP/flaix-expert/blob/269beca65504c00298d03bbdb4703904021cbda3/apps/web/src/composants/Coquille.tsx" TargetMode="External"/><Relationship Id="rIdpmwgqmpwuqcac-bvpz6yf" Type="http://schemas.openxmlformats.org/officeDocument/2006/relationships/hyperlink" Target="https://github.com/Break-Eat-APP/flaix-expert/blob/269beca65504c00298d03bbdb4703904021cbda3/apps/web/src/pages/achats/Achats.tsx" TargetMode="External"/><Relationship Id="rIdkevkvcemcrgvuryzoyqpl" Type="http://schemas.openxmlformats.org/officeDocument/2006/relationships/hyperlink" Target="https://github.com/Break-Eat-APP/flaix-expert/blob/269beca65504c00298d03bbdb4703904021cbda3/apps/web/src/pages/achats/Livraisons.tsx" TargetMode="External"/><Relationship Id="rIdhvaemqgxgikagyor4vcm2" Type="http://schemas.openxmlformats.org/officeDocument/2006/relationships/hyperlink" Target="https://github.com/Break-Eat-APP/flaix-expert/blob/269beca65504c00298d03bbdb4703904021cbda3/apps/web/src/pages/direct/EnDirect.test.tsx" TargetMode="External"/><Relationship Id="rIdtfnwes2ihznfldljhown3" Type="http://schemas.openxmlformats.org/officeDocument/2006/relationships/hyperlink" Target="https://github.com/Break-Eat-APP/flaix-expert/blob/269beca65504c00298d03bbdb4703904021cbda3/apps/web/src/pages/direct/EnDirect.tsx" TargetMode="External"/><Relationship Id="rIdjeuxp-egpvnhnss-xoxb8" Type="http://schemas.openxmlformats.org/officeDocument/2006/relationships/hyperlink" Target="https://github.com/Break-Eat-APP/flaix-expert/blob/269beca65504c00298d03bbdb4703904021cbda3/apps/web/src/pages/factures/Factures.tsx" TargetMode="External"/><Relationship Id="rId-fbn1knnjfrkux1iowxig" Type="http://schemas.openxmlformats.org/officeDocument/2006/relationships/hyperlink" Target="https://github.com/Break-Eat-APP/flaix-expert/blob/269beca65504c00298d03bbdb4703904021cbda3/apps/web/src/pages/ingredients/Ingredients.tsx" TargetMode="External"/><Relationship Id="rId_1igfnndjo9r2jgxt9t3x" Type="http://schemas.openxmlformats.org/officeDocument/2006/relationships/hyperlink" Target="https://github.com/Break-Eat-APP/flaix-expert/blob/269beca65504c00298d03bbdb4703904021cbda3/apps/web/src/pages/parametres/Recettes.tsx" TargetMode="External"/><Relationship Id="rIdbkngsjip65zfpqj4wdsed" Type="http://schemas.openxmlformats.org/officeDocument/2006/relationships/hyperlink" Target="https://github.com/Break-Eat-APP/flaix-expert/blob/269beca65504c00298d03bbdb4703904021cbda3/apps/web/src/pages/stock/Stock.tsx" TargetMode="External"/><Relationship Id="rIdv0pic9fxp0rosx9jbsom7" Type="http://schemas.openxmlformats.org/officeDocument/2006/relationships/hyperlink" Target="https://github.com/Break-Eat-APP/flaix-expert/blob/269beca65504c00298d03bbdb4703904021cbda3/apps/web/src/styles.css" TargetMode="External"/><Relationship Id="rIduwzy-j_brb80neaqspygs" Type="http://schemas.openxmlformats.org/officeDocument/2006/relationships/hyperlink" Target="https://github.com/Break-Eat-APP/flaix-expert/blob/269beca65504c00298d03bbdb4703904021cbda3/docs/avancement.md" TargetMode="External"/><Relationship Id="rIdgmtkh3jmxjnuikvgqorxo" Type="http://schemas.openxmlformats.org/officeDocument/2006/relationships/hyperlink" Target="https://github.com/Break-Eat-APP/flaix-expert/blob/269beca65504c00298d03bbdb4703904021cbda3/pnpm-lock.yaml" TargetMode="External"/><Relationship Id="rId3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FlaiX Expert — dossier de développement — Phase 73 — Achats, Ingrédients à part, raccourci de clôture ; facture qui entre en réserve ; export pour le comptable</dc:title>
  <dc:creator>FlaiX Expert</dc:creator>
  <cp:lastModifiedBy>Un-named</cp:lastModifiedBy>
  <cp:revision>1</cp:revision>
  <dcterms:created xsi:type="dcterms:W3CDTF">2026-10-25T03:11:20.390Z</dcterms:created>
  <dcterms:modified xsi:type="dcterms:W3CDTF">2026-10-25T03:11:20.390Z</dcterms:modified>
</cp:coreProperties>
</file>

<file path=docProps/custom.xml><?xml version="1.0" encoding="utf-8"?>
<Properties xmlns="http://schemas.openxmlformats.org/officeDocument/2006/custom-properties" xmlns:vt="http://schemas.openxmlformats.org/officeDocument/2006/docPropsVTypes"/>
</file>