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B6B2B" w14:textId="77777777" w:rsidR="007953BF" w:rsidRDefault="007953BF">
      <w:pPr>
        <w:pStyle w:val="Titre1"/>
        <w:rPr>
          <w:rFonts w:ascii="Calibri" w:eastAsia="Times New Roman" w:hAnsi="Calibri" w:cs="Calibri"/>
        </w:rPr>
      </w:pPr>
      <w:r>
        <w:rPr>
          <w:rFonts w:ascii="Calibri" w:eastAsia="Times New Roman" w:hAnsi="Calibri" w:cs="Calibri"/>
        </w:rPr>
        <w:t>FlaiX Expert — Dossier de conformité du système de caisse</w:t>
      </w:r>
    </w:p>
    <w:p w14:paraId="47AB21B2"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Éditeur</w:t>
      </w:r>
      <w:r>
        <w:rPr>
          <w:rFonts w:ascii="Calibri" w:hAnsi="Calibri" w:cs="Calibri"/>
          <w:color w:val="1B1A22"/>
          <w:sz w:val="21"/>
          <w:szCs w:val="21"/>
        </w:rPr>
        <w:t xml:space="preserve"> : Break Eat App (forme sociale et SIREN à reporter depuis l'extrait Kbis). </w:t>
      </w:r>
      <w:r>
        <w:rPr>
          <w:rStyle w:val="lev"/>
          <w:rFonts w:ascii="Calibri" w:hAnsi="Calibri" w:cs="Calibri"/>
          <w:color w:val="1B1A22"/>
          <w:sz w:val="21"/>
          <w:szCs w:val="21"/>
        </w:rPr>
        <w:t>Logiciel</w:t>
      </w:r>
      <w:r>
        <w:rPr>
          <w:rFonts w:ascii="Calibri" w:hAnsi="Calibri" w:cs="Calibri"/>
          <w:color w:val="1B1A22"/>
          <w:sz w:val="21"/>
          <w:szCs w:val="21"/>
        </w:rPr>
        <w:t xml:space="preserve"> : FlaiX Expert, logiciel de caisse et de gestion pour buvettes de stades et de patinoires. </w:t>
      </w:r>
      <w:r>
        <w:rPr>
          <w:rStyle w:val="lev"/>
          <w:rFonts w:ascii="Calibri" w:hAnsi="Calibri" w:cs="Calibri"/>
          <w:color w:val="1B1A22"/>
          <w:sz w:val="21"/>
          <w:szCs w:val="21"/>
        </w:rPr>
        <w:t>Version du dossier</w:t>
      </w:r>
      <w:r>
        <w:rPr>
          <w:rFonts w:ascii="Calibri" w:hAnsi="Calibri" w:cs="Calibri"/>
          <w:color w:val="1B1A22"/>
          <w:sz w:val="21"/>
          <w:szCs w:val="21"/>
        </w:rPr>
        <w:t xml:space="preserve"> : 0.1, du 2026-10-03. </w:t>
      </w:r>
      <w:r>
        <w:rPr>
          <w:rStyle w:val="lev"/>
          <w:rFonts w:ascii="Calibri" w:hAnsi="Calibri" w:cs="Calibri"/>
          <w:color w:val="1B1A22"/>
          <w:sz w:val="21"/>
          <w:szCs w:val="21"/>
        </w:rPr>
        <w:t>Version du logiciel couverte</w:t>
      </w:r>
      <w:r>
        <w:rPr>
          <w:rFonts w:ascii="Calibri" w:hAnsi="Calibri" w:cs="Calibri"/>
          <w:color w:val="1B1A22"/>
          <w:sz w:val="21"/>
          <w:szCs w:val="21"/>
        </w:rPr>
        <w:t xml:space="preserve"> : aucune pour l'instant. Le logiciel est en </w:t>
      </w:r>
      <w:r>
        <w:rPr>
          <w:rStyle w:val="lev"/>
          <w:rFonts w:ascii="Calibri" w:hAnsi="Calibri" w:cs="Calibri"/>
          <w:color w:val="1B1A22"/>
          <w:sz w:val="21"/>
          <w:szCs w:val="21"/>
        </w:rPr>
        <w:t>version de test</w:t>
      </w:r>
      <w:r>
        <w:rPr>
          <w:rFonts w:ascii="Calibri" w:hAnsi="Calibri" w:cs="Calibri"/>
          <w:color w:val="1B1A22"/>
          <w:sz w:val="21"/>
          <w:szCs w:val="21"/>
        </w:rPr>
        <w:t xml:space="preserve"> et la racine de version majeure sera fixée au passage en production (partie 12). </w:t>
      </w:r>
      <w:r>
        <w:rPr>
          <w:rStyle w:val="lev"/>
          <w:rFonts w:ascii="Calibri" w:hAnsi="Calibri" w:cs="Calibri"/>
          <w:color w:val="1B1A22"/>
          <w:sz w:val="21"/>
          <w:szCs w:val="21"/>
        </w:rPr>
        <w:t>Plan</w:t>
      </w:r>
      <w:r>
        <w:rPr>
          <w:rFonts w:ascii="Calibri" w:hAnsi="Calibri" w:cs="Calibri"/>
          <w:color w:val="1B1A22"/>
          <w:sz w:val="21"/>
          <w:szCs w:val="21"/>
        </w:rPr>
        <w:t xml:space="preserve"> </w:t>
      </w:r>
      <w:r>
        <w:rPr>
          <w:rFonts w:ascii="Calibri" w:hAnsi="Calibri" w:cs="Calibri"/>
          <w:color w:val="1B1A22"/>
          <w:sz w:val="21"/>
          <w:szCs w:val="21"/>
        </w:rPr>
        <w:t>: celui de Rémi Notta (20 parties, OneDrive « FLAIX EXPERT — DOSSIER DE CONFORMITÉ DU SYSTÈME DE CAISSE »), réécrit pour la caisse FlaiX Expert le 2026-10-03, avec ses ajouts (parties 21 à 28).</w:t>
      </w:r>
    </w:p>
    <w:p w14:paraId="0B3871AC" w14:textId="77777777" w:rsidR="007953BF" w:rsidRDefault="007953BF">
      <w:pPr>
        <w:shd w:val="clear" w:color="auto" w:fill="F6F3FF"/>
        <w:divId w:val="1965187773"/>
        <w:rPr>
          <w:rFonts w:ascii="Calibri" w:eastAsia="Times New Roman" w:hAnsi="Calibri" w:cs="Calibri"/>
          <w:color w:val="1B1A22"/>
          <w:sz w:val="21"/>
          <w:szCs w:val="21"/>
        </w:rPr>
      </w:pPr>
      <w:r>
        <w:rPr>
          <w:rStyle w:val="lev"/>
          <w:rFonts w:ascii="Calibri" w:eastAsia="Times New Roman" w:hAnsi="Calibri" w:cs="Calibri"/>
          <w:color w:val="1B1A22"/>
          <w:sz w:val="21"/>
          <w:szCs w:val="21"/>
        </w:rPr>
        <w:t>Comment lire ce dossier.</w:t>
      </w:r>
      <w:r>
        <w:rPr>
          <w:rFonts w:ascii="Calibri" w:eastAsia="Times New Roman" w:hAnsi="Calibri" w:cs="Calibri"/>
          <w:color w:val="1B1A22"/>
          <w:sz w:val="21"/>
          <w:szCs w:val="21"/>
        </w:rPr>
        <w:t xml:space="preserve"> Chaque partie dit ce qui est </w:t>
      </w:r>
      <w:r>
        <w:rPr>
          <w:rStyle w:val="lev"/>
          <w:rFonts w:ascii="Calibri" w:eastAsia="Times New Roman" w:hAnsi="Calibri" w:cs="Calibri"/>
          <w:color w:val="1B1A22"/>
          <w:sz w:val="21"/>
          <w:szCs w:val="21"/>
        </w:rPr>
        <w:t>construit</w:t>
      </w:r>
      <w:r>
        <w:rPr>
          <w:rFonts w:ascii="Calibri" w:eastAsia="Times New Roman" w:hAnsi="Calibri" w:cs="Calibri"/>
          <w:color w:val="1B1A22"/>
          <w:sz w:val="21"/>
          <w:szCs w:val="21"/>
        </w:rPr>
        <w:t xml:space="preserve">, la </w:t>
      </w:r>
      <w:r>
        <w:rPr>
          <w:rStyle w:val="lev"/>
          <w:rFonts w:ascii="Calibri" w:eastAsia="Times New Roman" w:hAnsi="Calibri" w:cs="Calibri"/>
          <w:color w:val="1B1A22"/>
          <w:sz w:val="21"/>
          <w:szCs w:val="21"/>
        </w:rPr>
        <w:t>preuve</w:t>
      </w:r>
      <w:r>
        <w:rPr>
          <w:rFonts w:ascii="Calibri" w:eastAsia="Times New Roman" w:hAnsi="Calibri" w:cs="Calibri"/>
          <w:color w:val="1B1A22"/>
          <w:sz w:val="21"/>
          <w:szCs w:val="21"/>
        </w:rPr>
        <w:t xml:space="preserve"> (fichier de code ou test automatique du dépôt), et ce qui </w:t>
      </w:r>
      <w:r>
        <w:rPr>
          <w:rStyle w:val="lev"/>
          <w:rFonts w:ascii="Calibri" w:eastAsia="Times New Roman" w:hAnsi="Calibri" w:cs="Calibri"/>
          <w:color w:val="1B1A22"/>
          <w:sz w:val="21"/>
          <w:szCs w:val="21"/>
        </w:rPr>
        <w:t>reste à faire</w:t>
      </w:r>
      <w:r>
        <w:rPr>
          <w:rFonts w:ascii="Calibri" w:eastAsia="Times New Roman" w:hAnsi="Calibri" w:cs="Calibri"/>
          <w:color w:val="1B1A22"/>
          <w:sz w:val="21"/>
          <w:szCs w:val="21"/>
        </w:rPr>
        <w:t xml:space="preserve"> ou </w:t>
      </w:r>
      <w:r>
        <w:rPr>
          <w:rStyle w:val="lev"/>
          <w:rFonts w:ascii="Calibri" w:eastAsia="Times New Roman" w:hAnsi="Calibri" w:cs="Calibri"/>
          <w:color w:val="1B1A22"/>
          <w:sz w:val="21"/>
          <w:szCs w:val="21"/>
        </w:rPr>
        <w:t>à fournir</w:t>
      </w:r>
      <w:r>
        <w:rPr>
          <w:rFonts w:ascii="Calibri" w:eastAsia="Times New Roman" w:hAnsi="Calibri" w:cs="Calibri"/>
          <w:color w:val="1B1A22"/>
          <w:sz w:val="21"/>
          <w:szCs w:val="21"/>
        </w:rPr>
        <w:t xml:space="preserve"> (par Rémi, l'avocat ou l'expert-comptable).</w:t>
      </w:r>
      <w:r>
        <w:rPr>
          <w:rFonts w:ascii="Calibri" w:eastAsia="Times New Roman" w:hAnsi="Calibri" w:cs="Calibri"/>
          <w:color w:val="1B1A22"/>
          <w:sz w:val="21"/>
          <w:szCs w:val="21"/>
        </w:rPr>
        <w:br/>
      </w:r>
      <w:r>
        <w:rPr>
          <w:rStyle w:val="lev"/>
          <w:rFonts w:ascii="Calibri" w:eastAsia="Times New Roman" w:hAnsi="Calibri" w:cs="Calibri"/>
          <w:color w:val="1B1A22"/>
          <w:sz w:val="21"/>
          <w:szCs w:val="21"/>
        </w:rPr>
        <w:t>Ce dossier présente des faits techniques. Il ne tranche aucune question juridique ou fiscale</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celles-ci sont posées à l'expert-comptable (</w:t>
      </w:r>
      <w:r>
        <w:rPr>
          <w:rStyle w:val="CodeHTML"/>
        </w:rPr>
        <w:t>docs/questions-expert-comptable.md</w:t>
      </w:r>
      <w:r>
        <w:rPr>
          <w:rFonts w:ascii="Calibri" w:eastAsia="Times New Roman" w:hAnsi="Calibri" w:cs="Calibri"/>
          <w:color w:val="1B1A22"/>
          <w:sz w:val="21"/>
          <w:szCs w:val="21"/>
        </w:rPr>
        <w:t>) et, si Rémi le décide, à un avocat (partie 17).</w:t>
      </w:r>
      <w:r>
        <w:rPr>
          <w:rFonts w:ascii="Calibri" w:eastAsia="Times New Roman" w:hAnsi="Calibri" w:cs="Calibri"/>
          <w:color w:val="1B1A22"/>
          <w:sz w:val="21"/>
          <w:szCs w:val="21"/>
        </w:rPr>
        <w:br/>
        <w:t xml:space="preserve">Les références « §15.x » renvoient au dossier projet </w:t>
      </w:r>
      <w:r>
        <w:rPr>
          <w:rStyle w:val="CodeHTML"/>
        </w:rPr>
        <w:t>docs/flaix-gestion-dossier-projet.md</w:t>
      </w:r>
      <w:r>
        <w:rPr>
          <w:rFonts w:ascii="Calibri" w:eastAsia="Times New Roman" w:hAnsi="Calibri" w:cs="Calibri"/>
          <w:color w:val="1B1A22"/>
          <w:sz w:val="21"/>
          <w:szCs w:val="21"/>
        </w:rPr>
        <w:t>, qui contient le raisonnement complet.</w:t>
      </w:r>
    </w:p>
    <w:p w14:paraId="0F6D9C51"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États</w:t>
      </w:r>
      <w:r>
        <w:rPr>
          <w:rFonts w:ascii="Calibri" w:hAnsi="Calibri" w:cs="Calibri"/>
          <w:color w:val="1B1A22"/>
          <w:sz w:val="21"/>
          <w:szCs w:val="21"/>
        </w:rPr>
        <w:t xml:space="preserve"> : CONSTRUIT (en service, testé) · PARTIEL · À CONSTRUIRE · À FOURNIR (document ou décision hors code).</w:t>
      </w:r>
    </w:p>
    <w:p w14:paraId="7B12982E"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0FE41185">
          <v:rect id="_x0000_i1025" style="width:0;height:1.5pt" o:hralign="center" o:hrstd="t" o:hr="t" fillcolor="#a0a0a0" stroked="f"/>
        </w:pict>
      </w:r>
    </w:p>
    <w:p w14:paraId="136504DD" w14:textId="77777777" w:rsidR="007953BF" w:rsidRDefault="007953BF">
      <w:pPr>
        <w:pStyle w:val="Titre2"/>
        <w:rPr>
          <w:rFonts w:ascii="Calibri" w:eastAsia="Times New Roman" w:hAnsi="Calibri" w:cs="Calibri"/>
        </w:rPr>
      </w:pPr>
      <w:r>
        <w:rPr>
          <w:rFonts w:ascii="Calibri" w:eastAsia="Times New Roman" w:hAnsi="Calibri" w:cs="Calibri"/>
        </w:rPr>
        <w:t>Tableau de bord</w:t>
      </w:r>
    </w:p>
    <w:tbl>
      <w:tblPr>
        <w:tblW w:w="5000" w:type="pct"/>
        <w:tblCellMar>
          <w:top w:w="15" w:type="dxa"/>
          <w:left w:w="15" w:type="dxa"/>
          <w:bottom w:w="15" w:type="dxa"/>
          <w:right w:w="15" w:type="dxa"/>
        </w:tblCellMar>
        <w:tblLook w:val="04A0" w:firstRow="1" w:lastRow="0" w:firstColumn="1" w:lastColumn="0" w:noHBand="0" w:noVBand="1"/>
      </w:tblPr>
      <w:tblGrid>
        <w:gridCol w:w="671"/>
        <w:gridCol w:w="3716"/>
        <w:gridCol w:w="5235"/>
      </w:tblGrid>
      <w:tr w:rsidR="00000000" w14:paraId="5DADA2B1" w14:textId="77777777">
        <w:trPr>
          <w:tblHeader/>
        </w:trPr>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25785858"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Partie</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14E1FB71"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Sujet</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3C77DEDD"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État</w:t>
            </w:r>
          </w:p>
        </w:tc>
      </w:tr>
      <w:tr w:rsidR="00000000" w14:paraId="5E049868"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9475B68"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01</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18A8F54"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Attestation individuelle de l'éditeur</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BA96E97"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À FOURNIR + À CONSTRUIRE (téléchargement dans l'application)</w:t>
            </w:r>
          </w:p>
        </w:tc>
      </w:tr>
      <w:tr w:rsidR="00000000" w14:paraId="06D61FCB"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157A9D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02</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B1C8C8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Identification du logiciel et de la version</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148F470"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À CONSTRUIRE (numéro de version, registre)</w:t>
            </w:r>
          </w:p>
        </w:tc>
      </w:tr>
      <w:tr w:rsidR="00000000" w14:paraId="45314238"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F8E5D93"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03</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3A8BE65"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Périmètre fonctionnel de la caisse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B9D1B68"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 (décrit ici)</w:t>
            </w:r>
          </w:p>
        </w:tc>
      </w:tr>
      <w:tr w:rsidR="00000000" w14:paraId="3742C938"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DC6253B"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04</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58EF578"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Documentation technique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86BB670"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 (décrit ici)</w:t>
            </w:r>
          </w:p>
        </w:tc>
      </w:tr>
      <w:tr w:rsidR="00000000" w14:paraId="168B64B8"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82E3DB7"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05</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1025D30"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Matrice de conformité fiscale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2BDCDC3"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 (ci-dessous)</w:t>
            </w:r>
          </w:p>
        </w:tc>
      </w:tr>
      <w:tr w:rsidR="00000000" w14:paraId="5381C1BF"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CA3A721"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06</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D4F9759"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Inaltérabilité</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16DFCA2"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w:t>
            </w:r>
          </w:p>
        </w:tc>
      </w:tr>
      <w:tr w:rsidR="00000000" w14:paraId="46D9E8F7"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3F28FA2"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07</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B7D0C1F"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Sécurisation</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746EC0A"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 sauf compte vérificateur (À CONSTRUIRE)</w:t>
            </w:r>
          </w:p>
        </w:tc>
      </w:tr>
      <w:tr w:rsidR="00000000" w14:paraId="196FCC74"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0CB2173"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08</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BCF0AD2"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Conservation</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0DF1685"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 (conservation sans limite, question RGPD G.19 posée)</w:t>
            </w:r>
          </w:p>
        </w:tc>
      </w:tr>
      <w:tr w:rsidR="00000000" w14:paraId="2318B839"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1033356"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09</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2D56919"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Archivage fiscal annuel</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02DAB7C"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À CONSTRUIRE</w:t>
            </w:r>
          </w:p>
        </w:tc>
      </w:tr>
      <w:tr w:rsidR="00000000" w14:paraId="3F51CD81"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6602612"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lastRenderedPageBreak/>
              <w:t>10</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1A13F55"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Journalisation et traçabilité</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2075B9A"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w:t>
            </w:r>
          </w:p>
        </w:tc>
      </w:tr>
      <w:tr w:rsidR="00000000" w14:paraId="4E25B3F5"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045AE4C"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11</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C3C6AA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Annulations, offerts, remises, rectifications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4D58395"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w:t>
            </w:r>
          </w:p>
        </w:tc>
      </w:tr>
      <w:tr w:rsidR="00000000" w14:paraId="19CAEC68"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775AD20"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12</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87F666A"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Gestion des versions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A88B66A"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À CONSTRUIRE (registre) ; règle majeure / mineure écrite ici</w:t>
            </w:r>
          </w:p>
        </w:tc>
      </w:tr>
      <w:tr w:rsidR="00000000" w14:paraId="59D52049"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8DC1AD7"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13</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EFE6167"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Procédure de mise à jour</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FEB8835"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PARTIEL (sauvegarde avant chaque mise en ligne ; étapes de conformité à formaliser)</w:t>
            </w:r>
          </w:p>
        </w:tc>
      </w:tr>
      <w:tr w:rsidR="00000000" w14:paraId="6E3E83AC"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04471DA"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14</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CD09029"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Tests de conformité</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837582D"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 pour A, B, C, F ; D (archivage) à construire ; E (paiements intégrés) le jour venu</w:t>
            </w:r>
          </w:p>
        </w:tc>
      </w:tr>
      <w:tr w:rsidR="00000000" w14:paraId="06C82107"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F4E48B4"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15</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9481EE6"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Contrôle d'intégrité</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ED61A9F"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w:t>
            </w:r>
          </w:p>
        </w:tc>
      </w:tr>
      <w:tr w:rsidR="00000000" w14:paraId="5C9D0D6F"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6A7C629"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16</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D69EAB6"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Sauvegardes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35E1D76"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PARTIEL (sur le serveur : fait ; copie chiffrée hors serveur : attend le stockage OVH)</w:t>
            </w:r>
          </w:p>
        </w:tc>
      </w:tr>
      <w:tr w:rsidR="00000000" w14:paraId="7DFFA26E"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01945CD"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17</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4978138"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Avis juridique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3452094"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À FOURNIR (décision de Rémi)</w:t>
            </w:r>
          </w:p>
        </w:tc>
      </w:tr>
      <w:tr w:rsidR="00000000" w14:paraId="4847DEAC"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3075FE7"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18</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CF70A31"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Validation comptable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C4EDB83"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À FOURNIR (questions prêtes)</w:t>
            </w:r>
          </w:p>
        </w:tc>
      </w:tr>
      <w:tr w:rsidR="00000000" w14:paraId="552BC502"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8363B2A"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19</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3886319"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Historique du dossier</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24E6955"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Tenu dans ce fichier (Git)</w:t>
            </w:r>
          </w:p>
        </w:tc>
      </w:tr>
      <w:tr w:rsidR="00000000" w14:paraId="0A77E9AD"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B31C37C"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20</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F2512CA"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Documents remis aux clients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C4E7F57"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À CONSTRUIRE (espace « Conformité » du lieu)</w:t>
            </w:r>
          </w:p>
        </w:tc>
      </w:tr>
      <w:tr w:rsidR="00000000" w14:paraId="3CE66213"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54C46BF"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21</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A42F05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Vente sans réseau</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50C1DF8"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w:t>
            </w:r>
          </w:p>
        </w:tc>
      </w:tr>
      <w:tr w:rsidR="00000000" w14:paraId="49432FA0"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D4D4878"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22</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8E20E11"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Mode formation</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342805D"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w:t>
            </w:r>
          </w:p>
        </w:tc>
      </w:tr>
      <w:tr w:rsidR="00000000" w14:paraId="0ADEDD49"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186DDAD"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23</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DF2F371"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Clôtures et totaux</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C71F55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w:t>
            </w:r>
          </w:p>
        </w:tc>
      </w:tr>
      <w:tr w:rsidR="00000000" w14:paraId="3A2F9634"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2DBED99"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24</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A36C346"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Ticket client et duplicata</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1EE3337"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 (sur demande) ; obligation par défaut à confirmer (G.18)</w:t>
            </w:r>
          </w:p>
        </w:tc>
      </w:tr>
      <w:tr w:rsidR="00000000" w14:paraId="431AB6B5"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EA21ED5"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25</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C85B855"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Contrôle inopiné et accès de l'administration</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0FD5E62"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PARTIEL</w:t>
            </w:r>
          </w:p>
        </w:tc>
      </w:tr>
      <w:tr w:rsidR="00000000" w14:paraId="674B5B7C"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2E0272D"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26</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C4BD8F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Obligations propres à l'éditeur (code de chaque version)</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4D054A1"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PARTIEL (Git) ; étiquette par version à mettre en place</w:t>
            </w:r>
          </w:p>
        </w:tc>
      </w:tr>
      <w:tr w:rsidR="00000000" w14:paraId="1F230AB2"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1018A53"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lastRenderedPageBreak/>
              <w:t>27</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32469AB"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Évolution prévue : TPE Android avec prestataire de paiement</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6F6A4F4"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À VENIR (version majeure)</w:t>
            </w:r>
          </w:p>
        </w:tc>
      </w:tr>
      <w:tr w:rsidR="00000000" w14:paraId="6D92AF42"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E5E1147"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28</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9C996A1"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Limites assumées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5A45D0D"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Écrites ici</w:t>
            </w:r>
          </w:p>
        </w:tc>
      </w:tr>
    </w:tbl>
    <w:p w14:paraId="2F5A7AA0"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3B80CA4C">
          <v:rect id="_x0000_i1026" style="width:0;height:1.5pt" o:hralign="center" o:hrstd="t" o:hr="t" fillcolor="#a0a0a0" stroked="f"/>
        </w:pict>
      </w:r>
    </w:p>
    <w:p w14:paraId="3D1F2B82" w14:textId="77777777" w:rsidR="007953BF" w:rsidRDefault="007953BF">
      <w:pPr>
        <w:pStyle w:val="Titre2"/>
        <w:rPr>
          <w:rFonts w:ascii="Calibri" w:eastAsia="Times New Roman" w:hAnsi="Calibri" w:cs="Calibri"/>
        </w:rPr>
      </w:pPr>
      <w:r>
        <w:rPr>
          <w:rFonts w:ascii="Calibri" w:eastAsia="Times New Roman" w:hAnsi="Calibri" w:cs="Calibri"/>
        </w:rPr>
        <w:t>01 — Attestation individuelle de l'éditeur</w:t>
      </w:r>
    </w:p>
    <w:p w14:paraId="6FD4FCD4"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Ce que c'est.</w:t>
      </w:r>
      <w:r>
        <w:rPr>
          <w:rFonts w:ascii="Calibri" w:hAnsi="Calibri" w:cs="Calibri"/>
          <w:color w:val="1B1A22"/>
          <w:sz w:val="21"/>
          <w:szCs w:val="21"/>
        </w:rPr>
        <w:t xml:space="preserve"> Le document par lequel </w:t>
      </w:r>
      <w:r>
        <w:rPr>
          <w:rStyle w:val="lev"/>
          <w:rFonts w:ascii="Calibri" w:hAnsi="Calibri" w:cs="Calibri"/>
          <w:color w:val="1B1A22"/>
          <w:sz w:val="21"/>
          <w:szCs w:val="21"/>
        </w:rPr>
        <w:t>Break Eat App</w:t>
      </w:r>
      <w:r>
        <w:rPr>
          <w:rFonts w:ascii="Calibri" w:hAnsi="Calibri" w:cs="Calibri"/>
          <w:color w:val="1B1A22"/>
          <w:sz w:val="21"/>
          <w:szCs w:val="21"/>
        </w:rPr>
        <w:t xml:space="preserve">, éditeur, atteste que FlaiX Expert respecte les quatre conditions de l'article 286, I-3° bis du CGI : </w:t>
      </w:r>
      <w:r>
        <w:rPr>
          <w:rStyle w:val="lev"/>
          <w:rFonts w:ascii="Calibri" w:hAnsi="Calibri" w:cs="Calibri"/>
          <w:color w:val="1B1A22"/>
          <w:sz w:val="21"/>
          <w:szCs w:val="21"/>
        </w:rPr>
        <w:t>inaltérabilité, sécurisation, conservation, archivage</w:t>
      </w:r>
      <w:r>
        <w:rPr>
          <w:rFonts w:ascii="Calibri" w:hAnsi="Calibri" w:cs="Calibri"/>
          <w:color w:val="1B1A22"/>
          <w:sz w:val="21"/>
          <w:szCs w:val="21"/>
        </w:rPr>
        <w:t xml:space="preserve">. Modèle de l'administration : </w:t>
      </w:r>
      <w:r>
        <w:rPr>
          <w:rStyle w:val="lev"/>
          <w:rFonts w:ascii="Calibri" w:hAnsi="Calibri" w:cs="Calibri"/>
          <w:color w:val="1B1A22"/>
          <w:sz w:val="21"/>
          <w:szCs w:val="21"/>
        </w:rPr>
        <w:t>BOI-LETTRE-000242</w:t>
      </w:r>
      <w:r>
        <w:rPr>
          <w:rFonts w:ascii="Calibri" w:hAnsi="Calibri" w:cs="Calibri"/>
          <w:color w:val="1B1A22"/>
          <w:sz w:val="21"/>
          <w:szCs w:val="21"/>
        </w:rPr>
        <w:t xml:space="preserve">. Depuis le </w:t>
      </w:r>
      <w:r>
        <w:rPr>
          <w:rStyle w:val="lev"/>
          <w:rFonts w:ascii="Calibri" w:hAnsi="Calibri" w:cs="Calibri"/>
          <w:color w:val="1B1A22"/>
          <w:sz w:val="21"/>
          <w:szCs w:val="21"/>
        </w:rPr>
        <w:t>21/02/2026</w:t>
      </w:r>
      <w:r>
        <w:rPr>
          <w:rFonts w:ascii="Calibri" w:hAnsi="Calibri" w:cs="Calibri"/>
          <w:color w:val="1B1A22"/>
          <w:sz w:val="21"/>
          <w:szCs w:val="21"/>
        </w:rPr>
        <w:t xml:space="preserve"> (loi n° 2026-103, art. 125), l'attestation de l'éditeur et le certificat d'un organisme accrédité sont deux preuves </w:t>
      </w:r>
      <w:r>
        <w:rPr>
          <w:rStyle w:val="lev"/>
          <w:rFonts w:ascii="Calibri" w:hAnsi="Calibri" w:cs="Calibri"/>
          <w:color w:val="1B1A22"/>
          <w:sz w:val="21"/>
          <w:szCs w:val="21"/>
        </w:rPr>
        <w:t>au choix</w:t>
      </w:r>
      <w:r>
        <w:rPr>
          <w:rFonts w:ascii="Calibri" w:hAnsi="Calibri" w:cs="Calibri"/>
          <w:color w:val="1B1A22"/>
          <w:sz w:val="21"/>
          <w:szCs w:val="21"/>
        </w:rPr>
        <w:t xml:space="preserve"> (§15.1). Cette possibilité avait été supprimée en 2025, puis rétablie : elle peut changer à nouveau.</w:t>
      </w:r>
    </w:p>
    <w:p w14:paraId="58F452B7"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Contenu à prévoir</w:t>
      </w:r>
      <w:r>
        <w:rPr>
          <w:rFonts w:ascii="Calibri" w:hAnsi="Calibri" w:cs="Calibri"/>
          <w:color w:val="1B1A22"/>
          <w:sz w:val="21"/>
          <w:szCs w:val="21"/>
        </w:rPr>
        <w:t xml:space="preserve"> (§15.9 point 2) :</w:t>
      </w:r>
    </w:p>
    <w:p w14:paraId="30162081" w14:textId="77777777" w:rsidR="007953BF" w:rsidRDefault="007953BF">
      <w:pPr>
        <w:numPr>
          <w:ilvl w:val="0"/>
          <w:numId w:val="1"/>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identité de l'éditeur : Break Eat App, forme, SIREN, adresse, représentant légal ;</w:t>
      </w:r>
    </w:p>
    <w:p w14:paraId="5BE9CF86" w14:textId="77777777" w:rsidR="007953BF" w:rsidRDefault="007953BF">
      <w:pPr>
        <w:numPr>
          <w:ilvl w:val="0"/>
          <w:numId w:val="1"/>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logiciel : FlaiX Expert ; </w:t>
      </w:r>
      <w:r>
        <w:rPr>
          <w:rStyle w:val="lev"/>
          <w:rFonts w:ascii="Calibri" w:eastAsia="Times New Roman" w:hAnsi="Calibri" w:cs="Calibri"/>
          <w:color w:val="1B1A22"/>
          <w:sz w:val="21"/>
          <w:szCs w:val="21"/>
        </w:rPr>
        <w:t>version</w:t>
      </w:r>
      <w:r>
        <w:rPr>
          <w:rFonts w:ascii="Calibri" w:eastAsia="Times New Roman" w:hAnsi="Calibri" w:cs="Calibri"/>
          <w:color w:val="1B1A22"/>
          <w:sz w:val="21"/>
          <w:szCs w:val="21"/>
        </w:rPr>
        <w:t xml:space="preserve"> et </w:t>
      </w:r>
      <w:r>
        <w:rPr>
          <w:rStyle w:val="lev"/>
          <w:rFonts w:ascii="Calibri" w:eastAsia="Times New Roman" w:hAnsi="Calibri" w:cs="Calibri"/>
          <w:color w:val="1B1A22"/>
          <w:sz w:val="21"/>
          <w:szCs w:val="21"/>
        </w:rPr>
        <w:t>racine de la dernière version majeure</w:t>
      </w:r>
      <w:r>
        <w:rPr>
          <w:rFonts w:ascii="Calibri" w:eastAsia="Times New Roman" w:hAnsi="Calibri" w:cs="Calibri"/>
          <w:color w:val="1B1A22"/>
          <w:sz w:val="21"/>
          <w:szCs w:val="21"/>
        </w:rPr>
        <w:t xml:space="preserve"> ;</w:t>
      </w:r>
    </w:p>
    <w:p w14:paraId="33CB3FA4" w14:textId="77777777" w:rsidR="007953BF" w:rsidRDefault="007953BF">
      <w:pPr>
        <w:numPr>
          <w:ilvl w:val="0"/>
          <w:numId w:val="1"/>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nominative</w:t>
      </w:r>
      <w:r>
        <w:rPr>
          <w:rFonts w:ascii="Calibri" w:eastAsia="Times New Roman" w:hAnsi="Calibri" w:cs="Calibri"/>
          <w:color w:val="1B1A22"/>
          <w:sz w:val="21"/>
          <w:szCs w:val="21"/>
        </w:rPr>
        <w:t xml:space="preserve"> : identité du lieu (raison sociale, SIRET) et </w:t>
      </w:r>
      <w:r>
        <w:rPr>
          <w:rStyle w:val="lev"/>
          <w:rFonts w:ascii="Calibri" w:eastAsia="Times New Roman" w:hAnsi="Calibri" w:cs="Calibri"/>
          <w:color w:val="1B1A22"/>
          <w:sz w:val="21"/>
          <w:szCs w:val="21"/>
        </w:rPr>
        <w:t>date d'acquisition</w:t>
      </w:r>
      <w:r>
        <w:rPr>
          <w:rFonts w:ascii="Calibri" w:eastAsia="Times New Roman" w:hAnsi="Calibri" w:cs="Calibri"/>
          <w:color w:val="1B1A22"/>
          <w:sz w:val="21"/>
          <w:szCs w:val="21"/>
        </w:rPr>
        <w:t xml:space="preserve"> ;</w:t>
      </w:r>
    </w:p>
    <w:p w14:paraId="17554901" w14:textId="77777777" w:rsidR="007953BF" w:rsidRDefault="007953BF">
      <w:pPr>
        <w:numPr>
          <w:ilvl w:val="0"/>
          <w:numId w:val="1"/>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déclaration de conformité aux quatre conditions ;</w:t>
      </w:r>
    </w:p>
    <w:p w14:paraId="3DDE5759" w14:textId="77777777" w:rsidR="007953BF" w:rsidRDefault="007953BF">
      <w:pPr>
        <w:numPr>
          <w:ilvl w:val="0"/>
          <w:numId w:val="1"/>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engagement de l'éditeur</w:t>
      </w:r>
      <w:r>
        <w:rPr>
          <w:rFonts w:ascii="Calibri" w:eastAsia="Times New Roman" w:hAnsi="Calibri" w:cs="Calibri"/>
          <w:color w:val="1B1A22"/>
          <w:sz w:val="21"/>
          <w:szCs w:val="21"/>
        </w:rPr>
        <w:t xml:space="preserve"> à n'utiliser les sous-versions que pour des versions mineures (BOFiP §380) ;</w:t>
      </w:r>
    </w:p>
    <w:p w14:paraId="15C9BCB6" w14:textId="77777777" w:rsidR="007953BF" w:rsidRDefault="007953BF">
      <w:pPr>
        <w:numPr>
          <w:ilvl w:val="0"/>
          <w:numId w:val="1"/>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date et signature du représentant légal.</w:t>
      </w:r>
    </w:p>
    <w:p w14:paraId="7759619D"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État.</w:t>
      </w:r>
    </w:p>
    <w:p w14:paraId="3B02B986" w14:textId="77777777" w:rsidR="007953BF" w:rsidRDefault="007953BF">
      <w:pPr>
        <w:numPr>
          <w:ilvl w:val="0"/>
          <w:numId w:val="2"/>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À FOURNIR (Rémi) : le texte définitif sur le modèle BOI-LETTRE-000242, et le représentant légal signataire.</w:t>
      </w:r>
    </w:p>
    <w:p w14:paraId="72941C53" w14:textId="77777777" w:rsidR="007953BF" w:rsidRDefault="007953BF">
      <w:pPr>
        <w:numPr>
          <w:ilvl w:val="0"/>
          <w:numId w:val="2"/>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À CONSTRUIRE : l'attestation de chaque lieu </w:t>
      </w:r>
      <w:r>
        <w:rPr>
          <w:rStyle w:val="lev"/>
          <w:rFonts w:ascii="Calibri" w:eastAsia="Times New Roman" w:hAnsi="Calibri" w:cs="Calibri"/>
          <w:color w:val="1B1A22"/>
          <w:sz w:val="21"/>
          <w:szCs w:val="21"/>
        </w:rPr>
        <w:t>générée et téléchargeable depuis son application</w:t>
      </w:r>
      <w:r>
        <w:rPr>
          <w:rFonts w:ascii="Calibri" w:eastAsia="Times New Roman" w:hAnsi="Calibri" w:cs="Calibri"/>
          <w:color w:val="1B1A22"/>
          <w:sz w:val="21"/>
          <w:szCs w:val="21"/>
        </w:rPr>
        <w:t xml:space="preserve"> (Paramètres → Conformité), pré-remplie avec l'identité du lieu et la version en service. Le contrôle de l'art. L80 O du LPF est inopiné : le lieu doit pouvoir la présenter sans appeler l'éditeur (partie 25).</w:t>
      </w:r>
    </w:p>
    <w:p w14:paraId="370F8368" w14:textId="77777777" w:rsidR="007953BF" w:rsidRDefault="007953BF">
      <w:pPr>
        <w:numPr>
          <w:ilvl w:val="0"/>
          <w:numId w:val="2"/>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À CONSTRUIRE : dans le back-office, la liste des attestations à réémettre après une version majeure.</w:t>
      </w:r>
    </w:p>
    <w:p w14:paraId="6930EBF2"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56DD9B2D">
          <v:rect id="_x0000_i1027" style="width:0;height:1.5pt" o:hralign="center" o:hrstd="t" o:hr="t" fillcolor="#a0a0a0" stroked="f"/>
        </w:pict>
      </w:r>
    </w:p>
    <w:p w14:paraId="14D8817A" w14:textId="77777777" w:rsidR="007953BF" w:rsidRDefault="007953BF">
      <w:pPr>
        <w:pStyle w:val="Titre2"/>
        <w:rPr>
          <w:rFonts w:ascii="Calibri" w:eastAsia="Times New Roman" w:hAnsi="Calibri" w:cs="Calibri"/>
        </w:rPr>
      </w:pPr>
      <w:r>
        <w:rPr>
          <w:rFonts w:ascii="Calibri" w:eastAsia="Times New Roman" w:hAnsi="Calibri" w:cs="Calibri"/>
        </w:rPr>
        <w:t>02 — Identification de FlaiX Expert et de la version</w:t>
      </w:r>
    </w:p>
    <w:p w14:paraId="50EBE1A3"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Construit.</w:t>
      </w:r>
    </w:p>
    <w:p w14:paraId="043C0C86" w14:textId="77777777" w:rsidR="007953BF" w:rsidRDefault="007953BF">
      <w:pPr>
        <w:numPr>
          <w:ilvl w:val="0"/>
          <w:numId w:val="3"/>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Chaque mise en ligne est un dossier daté sur le serveur (</w:t>
      </w:r>
      <w:r>
        <w:rPr>
          <w:rStyle w:val="CodeHTML"/>
        </w:rPr>
        <w:t>/srv/flaix/versions/AAAAMMJJ-HHMMSS</w:t>
      </w:r>
      <w:r>
        <w:rPr>
          <w:rFonts w:ascii="Calibri" w:eastAsia="Times New Roman" w:hAnsi="Calibri" w:cs="Calibri"/>
          <w:color w:val="1B1A22"/>
          <w:sz w:val="21"/>
          <w:szCs w:val="21"/>
        </w:rPr>
        <w:t>), affiché dans le back-office (« Version en service »).</w:t>
      </w:r>
    </w:p>
    <w:p w14:paraId="0EB93026" w14:textId="77777777" w:rsidR="007953BF" w:rsidRDefault="007953BF">
      <w:pPr>
        <w:numPr>
          <w:ilvl w:val="0"/>
          <w:numId w:val="3"/>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Le code de chaque mise en ligne est un commit Git identifié, poussé sur le dépôt privé </w:t>
      </w:r>
      <w:r>
        <w:rPr>
          <w:rStyle w:val="CodeHTML"/>
        </w:rPr>
        <w:t>Break-Eat-APP/flaix-expert</w:t>
      </w:r>
      <w:r>
        <w:rPr>
          <w:rFonts w:ascii="Calibri" w:eastAsia="Times New Roman" w:hAnsi="Calibri" w:cs="Calibri"/>
          <w:color w:val="1B1A22"/>
          <w:sz w:val="21"/>
          <w:szCs w:val="21"/>
        </w:rPr>
        <w:t>.</w:t>
      </w:r>
    </w:p>
    <w:p w14:paraId="7178CF82" w14:textId="77777777" w:rsidR="007953BF" w:rsidRDefault="007953BF">
      <w:pPr>
        <w:numPr>
          <w:ilvl w:val="0"/>
          <w:numId w:val="3"/>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Environnement affiché à l'écran : développement, test ou production (bandeau).</w:t>
      </w:r>
    </w:p>
    <w:p w14:paraId="42BDA6C9" w14:textId="77777777" w:rsidR="007953BF" w:rsidRDefault="007953BF">
      <w:pPr>
        <w:numPr>
          <w:ilvl w:val="0"/>
          <w:numId w:val="3"/>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Un seul logiciel pour tous les lieux : pas de version propre à un client (§15.5 point 3).</w:t>
      </w:r>
    </w:p>
    <w:p w14:paraId="00B450E7"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À construire.</w:t>
      </w:r>
    </w:p>
    <w:p w14:paraId="20906644" w14:textId="77777777" w:rsidR="007953BF" w:rsidRDefault="007953BF">
      <w:pPr>
        <w:numPr>
          <w:ilvl w:val="0"/>
          <w:numId w:val="4"/>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Numéro de version</w:t>
      </w:r>
      <w:r>
        <w:rPr>
          <w:rFonts w:ascii="Calibri" w:eastAsia="Times New Roman" w:hAnsi="Calibri" w:cs="Calibri"/>
          <w:color w:val="1B1A22"/>
          <w:sz w:val="21"/>
          <w:szCs w:val="21"/>
        </w:rPr>
        <w:t xml:space="preserve"> lisible (</w:t>
      </w:r>
      <w:r>
        <w:rPr>
          <w:rStyle w:val="CodeHTML"/>
        </w:rPr>
        <w:t>1.0.0</w:t>
      </w:r>
      <w:r>
        <w:rPr>
          <w:rFonts w:ascii="Calibri" w:eastAsia="Times New Roman" w:hAnsi="Calibri" w:cs="Calibri"/>
          <w:color w:val="1B1A22"/>
          <w:sz w:val="21"/>
          <w:szCs w:val="21"/>
        </w:rPr>
        <w:t xml:space="preserve"> = première version de production = racine majeure), affiché dans l'application et sur l'attestation.</w:t>
      </w:r>
    </w:p>
    <w:p w14:paraId="5EB008F5" w14:textId="77777777" w:rsidR="007953BF" w:rsidRDefault="007953BF">
      <w:pPr>
        <w:numPr>
          <w:ilvl w:val="0"/>
          <w:numId w:val="4"/>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Registre des versions</w:t>
      </w:r>
      <w:r>
        <w:rPr>
          <w:rFonts w:ascii="Calibri" w:eastAsia="Times New Roman" w:hAnsi="Calibri" w:cs="Calibri"/>
          <w:color w:val="1B1A22"/>
          <w:sz w:val="21"/>
          <w:szCs w:val="21"/>
        </w:rPr>
        <w:t xml:space="preserve"> (partie 12) : numéro, date de mise en service, nature majeure ou mineure, modifications, justification du classement.</w:t>
      </w:r>
    </w:p>
    <w:p w14:paraId="22548492" w14:textId="77777777" w:rsidR="007953BF" w:rsidRDefault="007953BF">
      <w:pPr>
        <w:numPr>
          <w:ilvl w:val="0"/>
          <w:numId w:val="4"/>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Correspondance lieu ↔ version</w:t>
      </w:r>
      <w:r>
        <w:rPr>
          <w:rFonts w:ascii="Calibri" w:eastAsia="Times New Roman" w:hAnsi="Calibri" w:cs="Calibri"/>
          <w:color w:val="1B1A22"/>
          <w:sz w:val="21"/>
          <w:szCs w:val="21"/>
        </w:rPr>
        <w:t xml:space="preserve"> : un seul serveur, donc tous les lieux ont la même version à un instant donné. Le registre suffit à dire quelle version un lieu utilisait à une date donnée.</w:t>
      </w:r>
    </w:p>
    <w:p w14:paraId="1F6EA3DE"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Modules couverts par l'attestation</w:t>
      </w:r>
      <w:r>
        <w:rPr>
          <w:rFonts w:ascii="Calibri" w:hAnsi="Calibri" w:cs="Calibri"/>
          <w:color w:val="1B1A22"/>
          <w:sz w:val="21"/>
          <w:szCs w:val="21"/>
        </w:rPr>
        <w:t xml:space="preserve"> </w:t>
      </w:r>
      <w:r>
        <w:rPr>
          <w:rFonts w:ascii="Calibri" w:hAnsi="Calibri" w:cs="Calibri"/>
          <w:color w:val="1B1A22"/>
          <w:sz w:val="21"/>
          <w:szCs w:val="21"/>
        </w:rPr>
        <w:t xml:space="preserve">: la caisse (vente, annulation, sessions, Z de caisse et de coffre, clôtures, journal technique). </w:t>
      </w:r>
      <w:r>
        <w:rPr>
          <w:rStyle w:val="lev"/>
          <w:rFonts w:ascii="Calibri" w:hAnsi="Calibri" w:cs="Calibri"/>
          <w:color w:val="1B1A22"/>
          <w:sz w:val="21"/>
          <w:szCs w:val="21"/>
        </w:rPr>
        <w:t>Hors champ fiscal</w:t>
      </w:r>
      <w:r>
        <w:rPr>
          <w:rFonts w:ascii="Calibri" w:hAnsi="Calibri" w:cs="Calibri"/>
          <w:color w:val="1B1A22"/>
          <w:sz w:val="21"/>
          <w:szCs w:val="21"/>
        </w:rPr>
        <w:t xml:space="preserve"> : stock, planning, marges, fidélité (hors dépense de points à la caisse, qui sera une donnée d'encaissement), factures fournisseurs, Click &amp; Collect (calculateur de prix).</w:t>
      </w:r>
    </w:p>
    <w:p w14:paraId="7291326B"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0E96F7D3">
          <v:rect id="_x0000_i1028" style="width:0;height:1.5pt" o:hralign="center" o:hrstd="t" o:hr="t" fillcolor="#a0a0a0" stroked="f"/>
        </w:pict>
      </w:r>
    </w:p>
    <w:p w14:paraId="47482A9B" w14:textId="77777777" w:rsidR="007953BF" w:rsidRDefault="007953BF">
      <w:pPr>
        <w:pStyle w:val="Titre2"/>
        <w:rPr>
          <w:rFonts w:ascii="Calibri" w:eastAsia="Times New Roman" w:hAnsi="Calibri" w:cs="Calibri"/>
        </w:rPr>
      </w:pPr>
      <w:r>
        <w:rPr>
          <w:rFonts w:ascii="Calibri" w:eastAsia="Times New Roman" w:hAnsi="Calibri" w:cs="Calibri"/>
        </w:rPr>
        <w:t xml:space="preserve">03 — Périmètre fonctionnel de la caisse </w:t>
      </w:r>
      <w:r>
        <w:rPr>
          <w:rStyle w:val="Accentuation"/>
          <w:rFonts w:ascii="Calibri" w:eastAsia="Times New Roman" w:hAnsi="Calibri" w:cs="Calibri"/>
        </w:rPr>
        <w:t>(réécrit pour FlaiX Expert)</w:t>
      </w:r>
    </w:p>
    <w:p w14:paraId="36976057"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Ce qu'est une opération d'encaissement dans FlaiX Expert.</w:t>
      </w:r>
      <w:r>
        <w:rPr>
          <w:rFonts w:ascii="Calibri" w:hAnsi="Calibri" w:cs="Calibri"/>
          <w:color w:val="1B1A22"/>
          <w:sz w:val="21"/>
          <w:szCs w:val="21"/>
        </w:rPr>
        <w:t xml:space="preserve"> Une </w:t>
      </w:r>
      <w:r>
        <w:rPr>
          <w:rStyle w:val="lev"/>
          <w:rFonts w:ascii="Calibri" w:hAnsi="Calibri" w:cs="Calibri"/>
          <w:color w:val="1B1A22"/>
          <w:sz w:val="21"/>
          <w:szCs w:val="21"/>
        </w:rPr>
        <w:t>vente</w:t>
      </w:r>
      <w:r>
        <w:rPr>
          <w:rFonts w:ascii="Calibri" w:hAnsi="Calibri" w:cs="Calibri"/>
          <w:color w:val="1B1A22"/>
          <w:sz w:val="21"/>
          <w:szCs w:val="21"/>
        </w:rPr>
        <w:t xml:space="preserve"> saisie par une caissière (ou le directeur) sur une </w:t>
      </w:r>
      <w:r>
        <w:rPr>
          <w:rStyle w:val="lev"/>
          <w:rFonts w:ascii="Calibri" w:hAnsi="Calibri" w:cs="Calibri"/>
          <w:color w:val="1B1A22"/>
          <w:sz w:val="21"/>
          <w:szCs w:val="21"/>
        </w:rPr>
        <w:t>tablette enregistrée comme caisse</w:t>
      </w:r>
      <w:r>
        <w:rPr>
          <w:rFonts w:ascii="Calibri" w:hAnsi="Calibri" w:cs="Calibri"/>
          <w:color w:val="1B1A22"/>
          <w:sz w:val="21"/>
          <w:szCs w:val="21"/>
        </w:rPr>
        <w:t xml:space="preserve">, pendant un </w:t>
      </w:r>
      <w:r>
        <w:rPr>
          <w:rStyle w:val="lev"/>
          <w:rFonts w:ascii="Calibri" w:hAnsi="Calibri" w:cs="Calibri"/>
          <w:color w:val="1B1A22"/>
          <w:sz w:val="21"/>
          <w:szCs w:val="21"/>
        </w:rPr>
        <w:t>match ouvert</w:t>
      </w:r>
      <w:r>
        <w:rPr>
          <w:rFonts w:ascii="Calibri" w:hAnsi="Calibri" w:cs="Calibri"/>
          <w:color w:val="1B1A22"/>
          <w:sz w:val="21"/>
          <w:szCs w:val="21"/>
        </w:rPr>
        <w:t xml:space="preserve"> : produits, quantités, prix en vigueur, TVA par taux, remise ou offert éventuel avec motif, </w:t>
      </w:r>
      <w:r>
        <w:rPr>
          <w:rStyle w:val="lev"/>
          <w:rFonts w:ascii="Calibri" w:hAnsi="Calibri" w:cs="Calibri"/>
          <w:color w:val="1B1A22"/>
          <w:sz w:val="21"/>
          <w:szCs w:val="21"/>
        </w:rPr>
        <w:t>mode de règlement</w:t>
      </w:r>
      <w:r>
        <w:rPr>
          <w:rFonts w:ascii="Calibri" w:hAnsi="Calibri" w:cs="Calibri"/>
          <w:color w:val="1B1A22"/>
          <w:sz w:val="21"/>
          <w:szCs w:val="21"/>
        </w:rPr>
        <w:t xml:space="preserve"> (espèces ou carte), montant TTC. Chaque vente reçoit un </w:t>
      </w:r>
      <w:r>
        <w:rPr>
          <w:rStyle w:val="lev"/>
          <w:rFonts w:ascii="Calibri" w:hAnsi="Calibri" w:cs="Calibri"/>
          <w:color w:val="1B1A22"/>
          <w:sz w:val="21"/>
          <w:szCs w:val="21"/>
        </w:rPr>
        <w:t>numéro de justificatif séquentiel propre à la caisse</w:t>
      </w:r>
      <w:r>
        <w:rPr>
          <w:rFonts w:ascii="Calibri" w:hAnsi="Calibri" w:cs="Calibri"/>
          <w:color w:val="1B1A22"/>
          <w:sz w:val="21"/>
          <w:szCs w:val="21"/>
        </w:rPr>
        <w:t xml:space="preserve"> (préfixe de caisse) et est </w:t>
      </w:r>
      <w:r>
        <w:rPr>
          <w:rStyle w:val="lev"/>
          <w:rFonts w:ascii="Calibri" w:hAnsi="Calibri" w:cs="Calibri"/>
          <w:color w:val="1B1A22"/>
          <w:sz w:val="21"/>
          <w:szCs w:val="21"/>
        </w:rPr>
        <w:t>scellée</w:t>
      </w:r>
      <w:r>
        <w:rPr>
          <w:rFonts w:ascii="Calibri" w:hAnsi="Calibri" w:cs="Calibri"/>
          <w:color w:val="1B1A22"/>
          <w:sz w:val="21"/>
          <w:szCs w:val="21"/>
        </w:rPr>
        <w:t xml:space="preserve"> (partie 06).</w:t>
      </w:r>
    </w:p>
    <w:p w14:paraId="6857AFE3"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Les systèmes en présence aujourd'hui :</w:t>
      </w:r>
    </w:p>
    <w:tbl>
      <w:tblPr>
        <w:tblW w:w="5000" w:type="pct"/>
        <w:tblCellMar>
          <w:top w:w="15" w:type="dxa"/>
          <w:left w:w="15" w:type="dxa"/>
          <w:bottom w:w="15" w:type="dxa"/>
          <w:right w:w="15" w:type="dxa"/>
        </w:tblCellMar>
        <w:tblLook w:val="04A0" w:firstRow="1" w:lastRow="0" w:firstColumn="1" w:lastColumn="0" w:noHBand="0" w:noVBand="1"/>
      </w:tblPr>
      <w:tblGrid>
        <w:gridCol w:w="1537"/>
        <w:gridCol w:w="3013"/>
        <w:gridCol w:w="2147"/>
        <w:gridCol w:w="2925"/>
      </w:tblGrid>
      <w:tr w:rsidR="00000000" w14:paraId="635D66F7" w14:textId="77777777">
        <w:trPr>
          <w:tblHeader/>
        </w:trPr>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07037FD8"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Système</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2C4C35EC"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Rôle</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02BD57E9"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Données</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34E22976"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Responsable</w:t>
            </w:r>
          </w:p>
        </w:tc>
      </w:tr>
      <w:tr w:rsidR="00000000" w14:paraId="7C631224"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143ED12"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FlaiX Expert</w:t>
            </w:r>
            <w:r>
              <w:rPr>
                <w:rFonts w:ascii="Calibri" w:eastAsia="Times New Roman" w:hAnsi="Calibri" w:cs="Calibri"/>
                <w:color w:val="1B1A22"/>
                <w:sz w:val="19"/>
                <w:szCs w:val="19"/>
              </w:rPr>
              <w:t xml:space="preserve"> (tablette + serveur)</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5EA8F1F"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Enregistre chaque vente et son mode de règlement ; clôtures ; journal technique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2819252"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Tickets ligne à ligne, sessions, Z, clôtures, journal</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FD72994"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 xml:space="preserve">Le </w:t>
            </w:r>
            <w:r>
              <w:rPr>
                <w:rStyle w:val="lev"/>
                <w:rFonts w:ascii="Calibri" w:eastAsia="Times New Roman" w:hAnsi="Calibri" w:cs="Calibri"/>
                <w:color w:val="1B1A22"/>
                <w:sz w:val="19"/>
                <w:szCs w:val="19"/>
              </w:rPr>
              <w:t>lieu</w:t>
            </w:r>
            <w:r>
              <w:rPr>
                <w:rFonts w:ascii="Calibri" w:eastAsia="Times New Roman" w:hAnsi="Calibri" w:cs="Calibri"/>
                <w:color w:val="1B1A22"/>
                <w:sz w:val="19"/>
                <w:szCs w:val="19"/>
              </w:rPr>
              <w:t xml:space="preserve"> (assujetti), données hébergées par Break Eat App pour son compte</w:t>
            </w:r>
          </w:p>
        </w:tc>
      </w:tr>
      <w:tr w:rsidR="00000000" w14:paraId="78C07EB8"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FBBE72F"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TPE bancaire du lieu</w:t>
            </w:r>
            <w:r>
              <w:rPr>
                <w:rFonts w:ascii="Calibri" w:eastAsia="Times New Roman" w:hAnsi="Calibri" w:cs="Calibri"/>
                <w:color w:val="1B1A22"/>
                <w:sz w:val="19"/>
                <w:szCs w:val="19"/>
              </w:rPr>
              <w:t xml:space="preserve"> (non relié)</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6A0FCD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Encaisse la carte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911C829"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Transaction bancaire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A389BD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Le lieu et sa banque</w:t>
            </w:r>
          </w:p>
        </w:tc>
      </w:tr>
      <w:tr w:rsidR="00000000" w14:paraId="2BBF3A36"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BCA4857"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Espèces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A45EFD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Tiroir de chaque caisse, comptées au Z ; remontées au coffre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81015A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Comptage, écart, motif</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C1C7B9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Le lieu</w:t>
            </w:r>
          </w:p>
        </w:tc>
      </w:tr>
    </w:tbl>
    <w:p w14:paraId="6228ECFA"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Ce que FlaiX Expert ne fait pas aujourd'hui</w:t>
      </w:r>
      <w:r>
        <w:rPr>
          <w:rFonts w:ascii="Calibri" w:hAnsi="Calibri" w:cs="Calibri"/>
          <w:color w:val="1B1A22"/>
          <w:sz w:val="21"/>
          <w:szCs w:val="21"/>
        </w:rPr>
        <w:t xml:space="preserve"> : il ne pilote pas le TPE, ne reçoit aucune donnée de carte et </w:t>
      </w:r>
      <w:r>
        <w:rPr>
          <w:rStyle w:val="lev"/>
          <w:rFonts w:ascii="Calibri" w:hAnsi="Calibri" w:cs="Calibri"/>
          <w:color w:val="1B1A22"/>
          <w:sz w:val="21"/>
          <w:szCs w:val="21"/>
        </w:rPr>
        <w:t>n'utilise pas Stripe dans la caisse</w:t>
      </w:r>
      <w:r>
        <w:rPr>
          <w:rFonts w:ascii="Calibri" w:hAnsi="Calibri" w:cs="Calibri"/>
          <w:color w:val="1B1A22"/>
          <w:sz w:val="21"/>
          <w:szCs w:val="21"/>
        </w:rPr>
        <w:t xml:space="preserve">. Le montant carte est </w:t>
      </w:r>
      <w:r>
        <w:rPr>
          <w:rStyle w:val="lev"/>
          <w:rFonts w:ascii="Calibri" w:hAnsi="Calibri" w:cs="Calibri"/>
          <w:color w:val="1B1A22"/>
          <w:sz w:val="21"/>
          <w:szCs w:val="21"/>
        </w:rPr>
        <w:t>déclaré</w:t>
      </w:r>
      <w:r>
        <w:rPr>
          <w:rFonts w:ascii="Calibri" w:hAnsi="Calibri" w:cs="Calibri"/>
          <w:color w:val="1B1A22"/>
          <w:sz w:val="21"/>
          <w:szCs w:val="21"/>
        </w:rPr>
        <w:t xml:space="preserve"> </w:t>
      </w:r>
      <w:r>
        <w:rPr>
          <w:rFonts w:ascii="Calibri" w:hAnsi="Calibri" w:cs="Calibri"/>
          <w:color w:val="1B1A22"/>
          <w:sz w:val="21"/>
          <w:szCs w:val="21"/>
        </w:rPr>
        <w:t xml:space="preserve">par la caissière, </w:t>
      </w:r>
      <w:r>
        <w:rPr>
          <w:rStyle w:val="lev"/>
          <w:rFonts w:ascii="Calibri" w:hAnsi="Calibri" w:cs="Calibri"/>
          <w:color w:val="1B1A22"/>
          <w:sz w:val="21"/>
          <w:szCs w:val="21"/>
        </w:rPr>
        <w:t>non vérifié</w:t>
      </w:r>
      <w:r>
        <w:rPr>
          <w:rFonts w:ascii="Calibri" w:hAnsi="Calibri" w:cs="Calibri"/>
          <w:color w:val="1B1A22"/>
          <w:sz w:val="21"/>
          <w:szCs w:val="21"/>
        </w:rPr>
        <w:t xml:space="preserve"> auprès de la banque (limite assumée, partie 28). Aucun remboursement par carte ne passe par le logiciel.</w:t>
      </w:r>
    </w:p>
    <w:p w14:paraId="571817F9"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Rôle de Break Eat App</w:t>
      </w:r>
      <w:r>
        <w:rPr>
          <w:rFonts w:ascii="Calibri" w:hAnsi="Calibri" w:cs="Calibri"/>
          <w:color w:val="1B1A22"/>
          <w:sz w:val="21"/>
          <w:szCs w:val="21"/>
        </w:rPr>
        <w:t xml:space="preserve"> : éditeur et hébergeur. </w:t>
      </w:r>
      <w:r>
        <w:rPr>
          <w:rStyle w:val="lev"/>
          <w:rFonts w:ascii="Calibri" w:hAnsi="Calibri" w:cs="Calibri"/>
          <w:color w:val="1B1A22"/>
          <w:sz w:val="21"/>
          <w:szCs w:val="21"/>
        </w:rPr>
        <w:t>Aucun accès à l'encaissement</w:t>
      </w:r>
      <w:r>
        <w:rPr>
          <w:rFonts w:ascii="Calibri" w:hAnsi="Calibri" w:cs="Calibri"/>
          <w:color w:val="1B1A22"/>
          <w:sz w:val="21"/>
          <w:szCs w:val="21"/>
        </w:rPr>
        <w:t xml:space="preserve"> : le back-office ne voit ni montant, ni ticket, ni nom de salarié, et la base lui refuse toute écriture dans les données d'un lieu (tests B6 et B7).</w:t>
      </w:r>
    </w:p>
    <w:p w14:paraId="525C8D8A"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Évolution annoncée</w:t>
      </w:r>
      <w:r>
        <w:rPr>
          <w:rFonts w:ascii="Calibri" w:hAnsi="Calibri" w:cs="Calibri"/>
          <w:color w:val="1B1A22"/>
          <w:sz w:val="21"/>
          <w:szCs w:val="21"/>
        </w:rPr>
        <w:t xml:space="preserve"> </w:t>
      </w:r>
      <w:r>
        <w:rPr>
          <w:rFonts w:ascii="Calibri" w:hAnsi="Calibri" w:cs="Calibri"/>
          <w:color w:val="1B1A22"/>
          <w:sz w:val="21"/>
          <w:szCs w:val="21"/>
        </w:rPr>
        <w:t>(partie 27) : tablettes ou TPE Android FlaiX encaissant la carte par un prestataire de paiement (Stripe ou autre). Le périmètre de cette partie sera alors réécrit, dans une version majeure.</w:t>
      </w:r>
    </w:p>
    <w:p w14:paraId="43AEB80E"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50AE1166">
          <v:rect id="_x0000_i1029" style="width:0;height:1.5pt" o:hralign="center" o:hrstd="t" o:hr="t" fillcolor="#a0a0a0" stroked="f"/>
        </w:pict>
      </w:r>
    </w:p>
    <w:p w14:paraId="20D7D185" w14:textId="77777777" w:rsidR="007953BF" w:rsidRDefault="007953BF">
      <w:pPr>
        <w:pStyle w:val="Titre2"/>
        <w:rPr>
          <w:rFonts w:ascii="Calibri" w:eastAsia="Times New Roman" w:hAnsi="Calibri" w:cs="Calibri"/>
        </w:rPr>
      </w:pPr>
      <w:r>
        <w:rPr>
          <w:rFonts w:ascii="Calibri" w:eastAsia="Times New Roman" w:hAnsi="Calibri" w:cs="Calibri"/>
        </w:rPr>
        <w:t xml:space="preserve">04 — Documentation technique </w:t>
      </w:r>
      <w:r>
        <w:rPr>
          <w:rStyle w:val="Accentuation"/>
          <w:rFonts w:ascii="Calibri" w:eastAsia="Times New Roman" w:hAnsi="Calibri" w:cs="Calibri"/>
        </w:rPr>
        <w:t>(réécrit pour FlaiX Expert)</w:t>
      </w:r>
    </w:p>
    <w:p w14:paraId="128DAC64"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Architecture.</w:t>
      </w:r>
    </w:p>
    <w:p w14:paraId="601B4055" w14:textId="77777777" w:rsidR="007953BF" w:rsidRDefault="007953BF">
      <w:pPr>
        <w:numPr>
          <w:ilvl w:val="0"/>
          <w:numId w:val="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Serveur</w:t>
      </w:r>
      <w:r>
        <w:rPr>
          <w:rFonts w:ascii="Calibri" w:eastAsia="Times New Roman" w:hAnsi="Calibri" w:cs="Calibri"/>
          <w:color w:val="1B1A22"/>
          <w:sz w:val="21"/>
          <w:szCs w:val="21"/>
        </w:rPr>
        <w:t xml:space="preserve"> : Node.js / TypeScript (Fastify) et </w:t>
      </w:r>
      <w:r>
        <w:rPr>
          <w:rStyle w:val="lev"/>
          <w:rFonts w:ascii="Calibri" w:eastAsia="Times New Roman" w:hAnsi="Calibri" w:cs="Calibri"/>
          <w:color w:val="1B1A22"/>
          <w:sz w:val="21"/>
          <w:szCs w:val="21"/>
        </w:rPr>
        <w:t>PostgreSQL</w:t>
      </w:r>
      <w:r>
        <w:rPr>
          <w:rFonts w:ascii="Calibri" w:eastAsia="Times New Roman" w:hAnsi="Calibri" w:cs="Calibri"/>
          <w:color w:val="1B1A22"/>
          <w:sz w:val="21"/>
          <w:szCs w:val="21"/>
        </w:rPr>
        <w:t xml:space="preserve">, sur un serveur OVHcloud </w:t>
      </w:r>
      <w:r>
        <w:rPr>
          <w:rStyle w:val="lev"/>
          <w:rFonts w:ascii="Calibri" w:eastAsia="Times New Roman" w:hAnsi="Calibri" w:cs="Calibri"/>
          <w:color w:val="1B1A22"/>
          <w:sz w:val="21"/>
          <w:szCs w:val="21"/>
        </w:rPr>
        <w:t>en France</w:t>
      </w:r>
      <w:r>
        <w:rPr>
          <w:rFonts w:ascii="Calibri" w:eastAsia="Times New Roman" w:hAnsi="Calibri" w:cs="Calibri"/>
          <w:color w:val="1B1A22"/>
          <w:sz w:val="21"/>
          <w:szCs w:val="21"/>
        </w:rPr>
        <w:t xml:space="preserve">, derrière un relais https (Caddy, certificat Let's Encrypt). Adresse de test : </w:t>
      </w:r>
      <w:r>
        <w:rPr>
          <w:rStyle w:val="CodeHTML"/>
        </w:rPr>
        <w:t>flaixexpert.flaixlabs.com</w:t>
      </w:r>
      <w:r>
        <w:rPr>
          <w:rFonts w:ascii="Calibri" w:eastAsia="Times New Roman" w:hAnsi="Calibri" w:cs="Calibri"/>
          <w:color w:val="1B1A22"/>
          <w:sz w:val="21"/>
          <w:szCs w:val="21"/>
        </w:rPr>
        <w:t>.</w:t>
      </w:r>
    </w:p>
    <w:p w14:paraId="107FEC13" w14:textId="77777777" w:rsidR="007953BF" w:rsidRDefault="007953BF">
      <w:pPr>
        <w:numPr>
          <w:ilvl w:val="0"/>
          <w:numId w:val="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Application</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xml:space="preserve">: web (React), installable sur tablette et téléphone. La caisse fonctionne </w:t>
      </w:r>
      <w:r>
        <w:rPr>
          <w:rStyle w:val="lev"/>
          <w:rFonts w:ascii="Calibri" w:eastAsia="Times New Roman" w:hAnsi="Calibri" w:cs="Calibri"/>
          <w:color w:val="1B1A22"/>
          <w:sz w:val="21"/>
          <w:szCs w:val="21"/>
        </w:rPr>
        <w:t>sans réseau</w:t>
      </w:r>
      <w:r>
        <w:rPr>
          <w:rFonts w:ascii="Calibri" w:eastAsia="Times New Roman" w:hAnsi="Calibri" w:cs="Calibri"/>
          <w:color w:val="1B1A22"/>
          <w:sz w:val="21"/>
          <w:szCs w:val="21"/>
        </w:rPr>
        <w:t xml:space="preserve"> (partie 21).</w:t>
      </w:r>
    </w:p>
    <w:p w14:paraId="16905DA9" w14:textId="77777777" w:rsidR="007953BF" w:rsidRDefault="007953BF">
      <w:pPr>
        <w:numPr>
          <w:ilvl w:val="0"/>
          <w:numId w:val="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Isolement des lieux</w:t>
      </w:r>
      <w:r>
        <w:rPr>
          <w:rFonts w:ascii="Calibri" w:eastAsia="Times New Roman" w:hAnsi="Calibri" w:cs="Calibri"/>
          <w:color w:val="1B1A22"/>
          <w:sz w:val="21"/>
          <w:szCs w:val="21"/>
        </w:rPr>
        <w:t xml:space="preserve"> : sécurité par ligne de PostgreSQL. Chaque requête est faite dans le contexte d'un lieu, et un lieu ne voit ni n'écrit jamais les données d'un autre (tests « Isolement des lieux », </w:t>
      </w:r>
      <w:r>
        <w:rPr>
          <w:rStyle w:val="CodeHTML"/>
        </w:rPr>
        <w:t>apps/api/test/conformite-base.test.ts</w:t>
      </w:r>
      <w:r>
        <w:rPr>
          <w:rFonts w:ascii="Calibri" w:eastAsia="Times New Roman" w:hAnsi="Calibri" w:cs="Calibri"/>
          <w:color w:val="1B1A22"/>
          <w:sz w:val="21"/>
          <w:szCs w:val="21"/>
        </w:rPr>
        <w:t>).</w:t>
      </w:r>
    </w:p>
    <w:p w14:paraId="3B65DE2F" w14:textId="77777777" w:rsidR="007953BF" w:rsidRDefault="007953BF">
      <w:pPr>
        <w:numPr>
          <w:ilvl w:val="0"/>
          <w:numId w:val="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Deux rôles de base</w:t>
      </w:r>
      <w:r>
        <w:rPr>
          <w:rFonts w:ascii="Calibri" w:eastAsia="Times New Roman" w:hAnsi="Calibri" w:cs="Calibri"/>
          <w:color w:val="1B1A22"/>
          <w:sz w:val="21"/>
          <w:szCs w:val="21"/>
        </w:rPr>
        <w:t xml:space="preserve"> : le serveur se connecte avec un rôle </w:t>
      </w:r>
      <w:r>
        <w:rPr>
          <w:rStyle w:val="lev"/>
          <w:rFonts w:ascii="Calibri" w:eastAsia="Times New Roman" w:hAnsi="Calibri" w:cs="Calibri"/>
          <w:color w:val="1B1A22"/>
          <w:sz w:val="21"/>
          <w:szCs w:val="21"/>
        </w:rPr>
        <w:t>sans droit de modification ni de suppression</w:t>
      </w:r>
      <w:r>
        <w:rPr>
          <w:rFonts w:ascii="Calibri" w:eastAsia="Times New Roman" w:hAnsi="Calibri" w:cs="Calibri"/>
          <w:color w:val="1B1A22"/>
          <w:sz w:val="21"/>
          <w:szCs w:val="21"/>
        </w:rPr>
        <w:t xml:space="preserve"> sur les journaux. Les tables d'encaissement sont protégées par des </w:t>
      </w:r>
      <w:r>
        <w:rPr>
          <w:rStyle w:val="lev"/>
          <w:rFonts w:ascii="Calibri" w:eastAsia="Times New Roman" w:hAnsi="Calibri" w:cs="Calibri"/>
          <w:color w:val="1B1A22"/>
          <w:sz w:val="21"/>
          <w:szCs w:val="21"/>
        </w:rPr>
        <w:t>déclencheurs qui refusent toute modification, même au propriétaire des tables</w:t>
      </w:r>
      <w:r>
        <w:rPr>
          <w:rFonts w:ascii="Calibri" w:eastAsia="Times New Roman" w:hAnsi="Calibri" w:cs="Calibri"/>
          <w:color w:val="1B1A22"/>
          <w:sz w:val="21"/>
          <w:szCs w:val="21"/>
        </w:rPr>
        <w:t xml:space="preserve"> (partie 06).</w:t>
      </w:r>
    </w:p>
    <w:p w14:paraId="4E0976FB"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Flux d'une vente.</w:t>
      </w:r>
    </w:p>
    <w:p w14:paraId="5C266714" w14:textId="77777777" w:rsidR="007953BF" w:rsidRDefault="007953BF">
      <w:pPr>
        <w:numPr>
          <w:ilvl w:val="0"/>
          <w:numId w:val="6"/>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La caissière se connecte sur une </w:t>
      </w:r>
      <w:r>
        <w:rPr>
          <w:rStyle w:val="lev"/>
          <w:rFonts w:ascii="Calibri" w:eastAsia="Times New Roman" w:hAnsi="Calibri" w:cs="Calibri"/>
          <w:color w:val="1B1A22"/>
          <w:sz w:val="21"/>
          <w:szCs w:val="21"/>
        </w:rPr>
        <w:t>tablette enregistrée</w:t>
      </w:r>
      <w:r>
        <w:rPr>
          <w:rFonts w:ascii="Calibri" w:eastAsia="Times New Roman" w:hAnsi="Calibri" w:cs="Calibri"/>
          <w:color w:val="1B1A22"/>
          <w:sz w:val="21"/>
          <w:szCs w:val="21"/>
        </w:rPr>
        <w:t xml:space="preserve"> avec son </w:t>
      </w:r>
      <w:r>
        <w:rPr>
          <w:rStyle w:val="lev"/>
          <w:rFonts w:ascii="Calibri" w:eastAsia="Times New Roman" w:hAnsi="Calibri" w:cs="Calibri"/>
          <w:color w:val="1B1A22"/>
          <w:sz w:val="21"/>
          <w:szCs w:val="21"/>
        </w:rPr>
        <w:t>code personnel</w:t>
      </w:r>
      <w:r>
        <w:rPr>
          <w:rFonts w:ascii="Calibri" w:eastAsia="Times New Roman" w:hAnsi="Calibri" w:cs="Calibri"/>
          <w:color w:val="1B1A22"/>
          <w:sz w:val="21"/>
          <w:szCs w:val="21"/>
        </w:rPr>
        <w:t xml:space="preserve"> (4 chiffres, blocage après des codes erronés).</w:t>
      </w:r>
    </w:p>
    <w:p w14:paraId="484D59AF" w14:textId="77777777" w:rsidR="007953BF" w:rsidRDefault="007953BF">
      <w:pPr>
        <w:numPr>
          <w:ilvl w:val="0"/>
          <w:numId w:val="6"/>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Elle ouvre sa caisse ; le serveur remet à la tablette la tête de chaîne de cette caisse.</w:t>
      </w:r>
    </w:p>
    <w:p w14:paraId="5A766C3C" w14:textId="77777777" w:rsidR="007953BF" w:rsidRDefault="007953BF">
      <w:pPr>
        <w:numPr>
          <w:ilvl w:val="0"/>
          <w:numId w:val="6"/>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Chaque vente est </w:t>
      </w:r>
      <w:r>
        <w:rPr>
          <w:rStyle w:val="lev"/>
          <w:rFonts w:ascii="Calibri" w:eastAsia="Times New Roman" w:hAnsi="Calibri" w:cs="Calibri"/>
          <w:color w:val="1B1A22"/>
          <w:sz w:val="21"/>
          <w:szCs w:val="21"/>
        </w:rPr>
        <w:t>calculée, numérotée, horodatée et scellée sur la tablette</w:t>
      </w:r>
      <w:r>
        <w:rPr>
          <w:rFonts w:ascii="Calibri" w:eastAsia="Times New Roman" w:hAnsi="Calibri" w:cs="Calibri"/>
          <w:color w:val="1B1A22"/>
          <w:sz w:val="21"/>
          <w:szCs w:val="21"/>
        </w:rPr>
        <w:t xml:space="preserve">, gardée en mémoire locale </w:t>
      </w:r>
      <w:r>
        <w:rPr>
          <w:rStyle w:val="lev"/>
          <w:rFonts w:ascii="Calibri" w:eastAsia="Times New Roman" w:hAnsi="Calibri" w:cs="Calibri"/>
          <w:color w:val="1B1A22"/>
          <w:sz w:val="21"/>
          <w:szCs w:val="21"/>
        </w:rPr>
        <w:t>avant</w:t>
      </w:r>
      <w:r>
        <w:rPr>
          <w:rFonts w:ascii="Calibri" w:eastAsia="Times New Roman" w:hAnsi="Calibri" w:cs="Calibri"/>
          <w:color w:val="1B1A22"/>
          <w:sz w:val="21"/>
          <w:szCs w:val="21"/>
        </w:rPr>
        <w:t xml:space="preserve"> d'être affichée comme payée, puis envoyée au serveur.</w:t>
      </w:r>
    </w:p>
    <w:p w14:paraId="0C231596" w14:textId="77777777" w:rsidR="007953BF" w:rsidRDefault="007953BF">
      <w:pPr>
        <w:numPr>
          <w:ilvl w:val="0"/>
          <w:numId w:val="6"/>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Le serveur </w:t>
      </w:r>
      <w:r>
        <w:rPr>
          <w:rStyle w:val="lev"/>
          <w:rFonts w:ascii="Calibri" w:eastAsia="Times New Roman" w:hAnsi="Calibri" w:cs="Calibri"/>
          <w:color w:val="1B1A22"/>
          <w:sz w:val="21"/>
          <w:szCs w:val="21"/>
        </w:rPr>
        <w:t>rejoue exactement les mêmes calculs</w:t>
      </w:r>
      <w:r>
        <w:rPr>
          <w:rFonts w:ascii="Calibri" w:eastAsia="Times New Roman" w:hAnsi="Calibri" w:cs="Calibri"/>
          <w:color w:val="1B1A22"/>
          <w:sz w:val="21"/>
          <w:szCs w:val="21"/>
        </w:rPr>
        <w:t xml:space="preserve"> (même code des deux côtés), vérifie la chaîne et inscrit l'opération. Il garde l'heure de la vente et note l'heure de réception.</w:t>
      </w:r>
    </w:p>
    <w:p w14:paraId="38FFE286" w14:textId="77777777" w:rsidR="007953BF" w:rsidRDefault="007953BF">
      <w:pPr>
        <w:numPr>
          <w:ilvl w:val="0"/>
          <w:numId w:val="6"/>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Fin de service : </w:t>
      </w:r>
      <w:r>
        <w:rPr>
          <w:rStyle w:val="lev"/>
          <w:rFonts w:ascii="Calibri" w:eastAsia="Times New Roman" w:hAnsi="Calibri" w:cs="Calibri"/>
          <w:color w:val="1B1A22"/>
          <w:sz w:val="21"/>
          <w:szCs w:val="21"/>
        </w:rPr>
        <w:t>clôture de caisse</w:t>
      </w:r>
      <w:r>
        <w:rPr>
          <w:rFonts w:ascii="Calibri" w:eastAsia="Times New Roman" w:hAnsi="Calibri" w:cs="Calibri"/>
          <w:color w:val="1B1A22"/>
          <w:sz w:val="21"/>
          <w:szCs w:val="21"/>
        </w:rPr>
        <w:t xml:space="preserve">, puis </w:t>
      </w:r>
      <w:r>
        <w:rPr>
          <w:rStyle w:val="lev"/>
          <w:rFonts w:ascii="Calibri" w:eastAsia="Times New Roman" w:hAnsi="Calibri" w:cs="Calibri"/>
          <w:color w:val="1B1A22"/>
          <w:sz w:val="21"/>
          <w:szCs w:val="21"/>
        </w:rPr>
        <w:t>Z du tiroir</w:t>
      </w:r>
      <w:r>
        <w:rPr>
          <w:rFonts w:ascii="Calibri" w:eastAsia="Times New Roman" w:hAnsi="Calibri" w:cs="Calibri"/>
          <w:color w:val="1B1A22"/>
          <w:sz w:val="21"/>
          <w:szCs w:val="21"/>
        </w:rPr>
        <w:t xml:space="preserve"> (espèces comptées, écart, motif au-delà du seuil). Fin de match : </w:t>
      </w:r>
      <w:r>
        <w:rPr>
          <w:rStyle w:val="lev"/>
          <w:rFonts w:ascii="Calibri" w:eastAsia="Times New Roman" w:hAnsi="Calibri" w:cs="Calibri"/>
          <w:color w:val="1B1A22"/>
          <w:sz w:val="21"/>
          <w:szCs w:val="21"/>
        </w:rPr>
        <w:t>Z du match</w:t>
      </w:r>
      <w:r>
        <w:rPr>
          <w:rFonts w:ascii="Calibri" w:eastAsia="Times New Roman" w:hAnsi="Calibri" w:cs="Calibri"/>
          <w:color w:val="1B1A22"/>
          <w:sz w:val="21"/>
          <w:szCs w:val="21"/>
        </w:rPr>
        <w:t xml:space="preserve"> (clôture journalière). Puis clôtures mensuelle et annuelle (partie 23).</w:t>
      </w:r>
    </w:p>
    <w:p w14:paraId="4BA21003"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Annulations et corrections</w:t>
      </w:r>
      <w:r>
        <w:rPr>
          <w:rFonts w:ascii="Calibri" w:hAnsi="Calibri" w:cs="Calibri"/>
          <w:color w:val="1B1A22"/>
          <w:sz w:val="21"/>
          <w:szCs w:val="21"/>
        </w:rPr>
        <w:t xml:space="preserve"> : partie 11. </w:t>
      </w:r>
      <w:r>
        <w:rPr>
          <w:rStyle w:val="lev"/>
          <w:rFonts w:ascii="Calibri" w:hAnsi="Calibri" w:cs="Calibri"/>
          <w:color w:val="1B1A22"/>
          <w:sz w:val="21"/>
          <w:szCs w:val="21"/>
        </w:rPr>
        <w:t>Journalisation</w:t>
      </w:r>
      <w:r>
        <w:rPr>
          <w:rFonts w:ascii="Calibri" w:hAnsi="Calibri" w:cs="Calibri"/>
          <w:color w:val="1B1A22"/>
          <w:sz w:val="21"/>
          <w:szCs w:val="21"/>
        </w:rPr>
        <w:t xml:space="preserve"> : partie 10. </w:t>
      </w:r>
      <w:r>
        <w:rPr>
          <w:rStyle w:val="lev"/>
          <w:rFonts w:ascii="Calibri" w:hAnsi="Calibri" w:cs="Calibri"/>
          <w:color w:val="1B1A22"/>
          <w:sz w:val="21"/>
          <w:szCs w:val="21"/>
        </w:rPr>
        <w:t>Accès</w:t>
      </w:r>
      <w:r>
        <w:rPr>
          <w:rFonts w:ascii="Calibri" w:hAnsi="Calibri" w:cs="Calibri"/>
          <w:color w:val="1B1A22"/>
          <w:sz w:val="21"/>
          <w:szCs w:val="21"/>
        </w:rPr>
        <w:t xml:space="preserve"> : partie 07. </w:t>
      </w:r>
      <w:r>
        <w:rPr>
          <w:rStyle w:val="lev"/>
          <w:rFonts w:ascii="Calibri" w:hAnsi="Calibri" w:cs="Calibri"/>
          <w:color w:val="1B1A22"/>
          <w:sz w:val="21"/>
          <w:szCs w:val="21"/>
        </w:rPr>
        <w:t>Conservation</w:t>
      </w:r>
      <w:r>
        <w:rPr>
          <w:rFonts w:ascii="Calibri" w:hAnsi="Calibri" w:cs="Calibri"/>
          <w:color w:val="1B1A22"/>
          <w:sz w:val="21"/>
          <w:szCs w:val="21"/>
        </w:rPr>
        <w:t xml:space="preserve"> : partie 08. </w:t>
      </w:r>
      <w:r>
        <w:rPr>
          <w:rStyle w:val="lev"/>
          <w:rFonts w:ascii="Calibri" w:hAnsi="Calibri" w:cs="Calibri"/>
          <w:color w:val="1B1A22"/>
          <w:sz w:val="21"/>
          <w:szCs w:val="21"/>
        </w:rPr>
        <w:t>Archivage</w:t>
      </w:r>
      <w:r>
        <w:rPr>
          <w:rFonts w:ascii="Calibri" w:hAnsi="Calibri" w:cs="Calibri"/>
          <w:color w:val="1B1A22"/>
          <w:sz w:val="21"/>
          <w:szCs w:val="21"/>
        </w:rPr>
        <w:t xml:space="preserve"> : partie 09. </w:t>
      </w:r>
      <w:r>
        <w:rPr>
          <w:rStyle w:val="lev"/>
          <w:rFonts w:ascii="Calibri" w:hAnsi="Calibri" w:cs="Calibri"/>
          <w:color w:val="1B1A22"/>
          <w:sz w:val="21"/>
          <w:szCs w:val="21"/>
        </w:rPr>
        <w:t>Versions</w:t>
      </w:r>
      <w:r>
        <w:rPr>
          <w:rFonts w:ascii="Calibri" w:hAnsi="Calibri" w:cs="Calibri"/>
          <w:color w:val="1B1A22"/>
          <w:sz w:val="21"/>
          <w:szCs w:val="21"/>
        </w:rPr>
        <w:t xml:space="preserve"> </w:t>
      </w:r>
      <w:r>
        <w:rPr>
          <w:rFonts w:ascii="Calibri" w:hAnsi="Calibri" w:cs="Calibri"/>
          <w:color w:val="1B1A22"/>
          <w:sz w:val="21"/>
          <w:szCs w:val="21"/>
        </w:rPr>
        <w:t xml:space="preserve">: parties 12 et 13. </w:t>
      </w:r>
      <w:r>
        <w:rPr>
          <w:rStyle w:val="lev"/>
          <w:rFonts w:ascii="Calibri" w:hAnsi="Calibri" w:cs="Calibri"/>
          <w:color w:val="1B1A22"/>
          <w:sz w:val="21"/>
          <w:szCs w:val="21"/>
        </w:rPr>
        <w:t>Sauvegardes</w:t>
      </w:r>
      <w:r>
        <w:rPr>
          <w:rFonts w:ascii="Calibri" w:hAnsi="Calibri" w:cs="Calibri"/>
          <w:color w:val="1B1A22"/>
          <w:sz w:val="21"/>
          <w:szCs w:val="21"/>
        </w:rPr>
        <w:t xml:space="preserve"> : partie 16. </w:t>
      </w:r>
      <w:r>
        <w:rPr>
          <w:rStyle w:val="lev"/>
          <w:rFonts w:ascii="Calibri" w:hAnsi="Calibri" w:cs="Calibri"/>
          <w:color w:val="1B1A22"/>
          <w:sz w:val="21"/>
          <w:szCs w:val="21"/>
        </w:rPr>
        <w:t>Interfaces avec des tiers</w:t>
      </w:r>
      <w:r>
        <w:rPr>
          <w:rFonts w:ascii="Calibri" w:hAnsi="Calibri" w:cs="Calibri"/>
          <w:color w:val="1B1A22"/>
          <w:sz w:val="21"/>
          <w:szCs w:val="21"/>
        </w:rPr>
        <w:t xml:space="preserve"> : export pour l'expert-comptable (fichiers CSV mensuels tirés des Z scellés) ; aucun autre système ne reçoit de données d'encaissement.</w:t>
      </w:r>
    </w:p>
    <w:p w14:paraId="234D1B0F"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Code de référence</w:t>
      </w:r>
      <w:r>
        <w:rPr>
          <w:rFonts w:ascii="Calibri" w:hAnsi="Calibri" w:cs="Calibri"/>
          <w:color w:val="1B1A22"/>
          <w:sz w:val="21"/>
          <w:szCs w:val="21"/>
        </w:rPr>
        <w:t xml:space="preserve"> : </w:t>
      </w:r>
      <w:r>
        <w:rPr>
          <w:rStyle w:val="CodeHTML"/>
        </w:rPr>
        <w:t>packages/domain/src/journal-caisse.ts</w:t>
      </w:r>
      <w:r>
        <w:rPr>
          <w:rFonts w:ascii="Calibri" w:hAnsi="Calibri" w:cs="Calibri"/>
          <w:color w:val="1B1A22"/>
          <w:sz w:val="21"/>
          <w:szCs w:val="21"/>
        </w:rPr>
        <w:t xml:space="preserve"> (champs scellés), </w:t>
      </w:r>
      <w:r>
        <w:rPr>
          <w:rStyle w:val="CodeHTML"/>
        </w:rPr>
        <w:t>packages/domain/src/caisse-scellee.ts</w:t>
      </w:r>
      <w:r>
        <w:rPr>
          <w:rFonts w:ascii="Calibri" w:hAnsi="Calibri" w:cs="Calibri"/>
          <w:color w:val="1B1A22"/>
          <w:sz w:val="21"/>
          <w:szCs w:val="21"/>
        </w:rPr>
        <w:t xml:space="preserve"> (scellement tablette / serveur), </w:t>
      </w:r>
      <w:r>
        <w:rPr>
          <w:rStyle w:val="CodeHTML"/>
        </w:rPr>
        <w:t>packages/domain/src/chaine.ts</w:t>
      </w:r>
      <w:r>
        <w:rPr>
          <w:rFonts w:ascii="Calibri" w:hAnsi="Calibri" w:cs="Calibri"/>
          <w:color w:val="1B1A22"/>
          <w:sz w:val="21"/>
          <w:szCs w:val="21"/>
        </w:rPr>
        <w:t xml:space="preserve"> (empreinte SHA-256), </w:t>
      </w:r>
      <w:r>
        <w:rPr>
          <w:rStyle w:val="CodeHTML"/>
        </w:rPr>
        <w:t>db/migrations/</w:t>
      </w:r>
      <w:r>
        <w:rPr>
          <w:rFonts w:ascii="Calibri" w:hAnsi="Calibri" w:cs="Calibri"/>
          <w:color w:val="1B1A22"/>
          <w:sz w:val="21"/>
          <w:szCs w:val="21"/>
        </w:rPr>
        <w:t xml:space="preserve"> (droits et déclencheurs).</w:t>
      </w:r>
    </w:p>
    <w:p w14:paraId="6013CB5D"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40DE554A">
          <v:rect id="_x0000_i1030" style="width:0;height:1.5pt" o:hralign="center" o:hrstd="t" o:hr="t" fillcolor="#a0a0a0" stroked="f"/>
        </w:pict>
      </w:r>
    </w:p>
    <w:p w14:paraId="726DA279" w14:textId="77777777" w:rsidR="007953BF" w:rsidRDefault="007953BF">
      <w:pPr>
        <w:pStyle w:val="Titre2"/>
        <w:rPr>
          <w:rFonts w:ascii="Calibri" w:eastAsia="Times New Roman" w:hAnsi="Calibri" w:cs="Calibri"/>
        </w:rPr>
      </w:pPr>
      <w:r>
        <w:rPr>
          <w:rFonts w:ascii="Calibri" w:eastAsia="Times New Roman" w:hAnsi="Calibri" w:cs="Calibri"/>
        </w:rPr>
        <w:t>05 — Matrice de conformité fiscale</w:t>
      </w:r>
    </w:p>
    <w:tbl>
      <w:tblPr>
        <w:tblW w:w="5000" w:type="pct"/>
        <w:tblCellMar>
          <w:top w:w="15" w:type="dxa"/>
          <w:left w:w="15" w:type="dxa"/>
          <w:bottom w:w="15" w:type="dxa"/>
          <w:right w:w="15" w:type="dxa"/>
        </w:tblCellMar>
        <w:tblLook w:val="04A0" w:firstRow="1" w:lastRow="0" w:firstColumn="1" w:lastColumn="0" w:noHBand="0" w:noVBand="1"/>
      </w:tblPr>
      <w:tblGrid>
        <w:gridCol w:w="3213"/>
        <w:gridCol w:w="3242"/>
        <w:gridCol w:w="3167"/>
      </w:tblGrid>
      <w:tr w:rsidR="00000000" w14:paraId="5EC4C163" w14:textId="77777777">
        <w:trPr>
          <w:tblHeader/>
        </w:trPr>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72FEE72D"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Exigence (BOFiP BOI-TVA-DECLA-30-10-30)</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37F7A6DA"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Fonction FlaiX Expert</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32C8DCA0"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Preuve</w:t>
            </w:r>
          </w:p>
        </w:tc>
      </w:tr>
      <w:tr w:rsidR="00000000" w14:paraId="4881645C"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D3BD5F2"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Inaltérabilité</w:t>
            </w:r>
            <w:r>
              <w:rPr>
                <w:rFonts w:ascii="Calibri" w:eastAsia="Times New Roman" w:hAnsi="Calibri" w:cs="Calibri"/>
                <w:color w:val="1B1A22"/>
                <w:sz w:val="19"/>
                <w:szCs w:val="19"/>
              </w:rPr>
              <w:t xml:space="preserve"> — pas de modification ni de suppression ; correction par opération inverse (§90)</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B8B7CBB"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Journaux en écriture seule imposée par la base ; annulation = opération inverse rattachée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13CE746"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 xml:space="preserve">Tests A1, A2, A6, A8, A9 ; </w:t>
            </w:r>
            <w:r>
              <w:rPr>
                <w:rStyle w:val="CodeHTML"/>
              </w:rPr>
              <w:t>conformite-base.test.ts</w:t>
            </w:r>
            <w:r>
              <w:rPr>
                <w:rFonts w:ascii="Calibri" w:eastAsia="Times New Roman" w:hAnsi="Calibri" w:cs="Calibri"/>
                <w:color w:val="1B1A22"/>
                <w:sz w:val="19"/>
                <w:szCs w:val="19"/>
              </w:rPr>
              <w:t xml:space="preserve">, </w:t>
            </w:r>
            <w:r>
              <w:rPr>
                <w:rStyle w:val="CodeHTML"/>
              </w:rPr>
              <w:t>caisse.test.ts</w:t>
            </w:r>
          </w:p>
        </w:tc>
      </w:tr>
      <w:tr w:rsidR="00000000" w14:paraId="051C9568"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6F4080C"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Chaînage fiable (§140)</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AE57A0A"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Empreinte SHA-256 chaînée par caisse, par lieu (journal technique) et pour les clôtures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087CEFD"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Tests A3, A4, A5 ; vérification d'intégrité</w:t>
            </w:r>
          </w:p>
        </w:tc>
      </w:tr>
      <w:tr w:rsidR="00000000" w14:paraId="66194932"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49C73EC"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Sécurisation</w:t>
            </w:r>
            <w:r>
              <w:rPr>
                <w:rFonts w:ascii="Calibri" w:eastAsia="Times New Roman" w:hAnsi="Calibri" w:cs="Calibri"/>
                <w:color w:val="1B1A22"/>
                <w:sz w:val="19"/>
                <w:szCs w:val="19"/>
              </w:rPr>
              <w:t xml:space="preserve"> </w:t>
            </w:r>
            <w:r>
              <w:rPr>
                <w:rFonts w:ascii="Calibri" w:eastAsia="Times New Roman" w:hAnsi="Calibri" w:cs="Calibri"/>
                <w:color w:val="1B1A22"/>
                <w:sz w:val="19"/>
                <w:szCs w:val="19"/>
              </w:rPr>
              <w:t>— identification des personnes (§130), droits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11806F6"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Comptes nominatifs, codes personnels, rôles, journal des connexions, tentatives refusées journalisées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1D01097"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Tests B1, B2, B6, B7</w:t>
            </w:r>
          </w:p>
        </w:tc>
      </w:tr>
      <w:tr w:rsidR="00000000" w14:paraId="02B9F483"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319E2EB"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Mode « école » identifié (§150)</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32356D2"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Mode formation : lieu jumeau séparé, bandeau et mention « FACTICE »</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DC67D19"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Tests B3, B4 (</w:t>
            </w:r>
            <w:r>
              <w:rPr>
                <w:rStyle w:val="CodeHTML"/>
              </w:rPr>
              <w:t>formation.test.ts</w:t>
            </w:r>
            <w:r>
              <w:rPr>
                <w:rFonts w:ascii="Calibri" w:eastAsia="Times New Roman" w:hAnsi="Calibri" w:cs="Calibri"/>
                <w:color w:val="1B1A22"/>
                <w:sz w:val="19"/>
                <w:szCs w:val="19"/>
              </w:rPr>
              <w:t>)</w:t>
            </w:r>
          </w:p>
        </w:tc>
      </w:tr>
      <w:tr w:rsidR="00000000" w14:paraId="6571B59D"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2E6038F"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Conservation</w:t>
            </w:r>
            <w:r>
              <w:rPr>
                <w:rFonts w:ascii="Calibri" w:eastAsia="Times New Roman" w:hAnsi="Calibri" w:cs="Calibri"/>
                <w:color w:val="1B1A22"/>
                <w:sz w:val="19"/>
                <w:szCs w:val="19"/>
              </w:rPr>
              <w:t xml:space="preserve"> — données ligne à ligne, 6 ans (§155)</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D2340BF"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Aucune purge ; conservation sans limite (décision du 2026-09-30)</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C77A7EC"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Partie 08</w:t>
            </w:r>
          </w:p>
        </w:tc>
      </w:tr>
      <w:tr w:rsidR="00000000" w14:paraId="1F5EA851"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65140AB"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Clôtures journalière, mensuelle, annuelle ; grand total ; total perpétuel (§170)</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62ACAE6"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Z du match, clôture du mois, clôture de l'exercice, chaînées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2B686D0"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Tests C2 à C6 (</w:t>
            </w:r>
            <w:r>
              <w:rPr>
                <w:rStyle w:val="CodeHTML"/>
              </w:rPr>
              <w:t>periodes.test.ts</w:t>
            </w:r>
            <w:r>
              <w:rPr>
                <w:rFonts w:ascii="Calibri" w:eastAsia="Times New Roman" w:hAnsi="Calibri" w:cs="Calibri"/>
                <w:color w:val="1B1A22"/>
                <w:sz w:val="19"/>
                <w:szCs w:val="19"/>
              </w:rPr>
              <w:t xml:space="preserve">, </w:t>
            </w:r>
            <w:r>
              <w:rPr>
                <w:rStyle w:val="CodeHTML"/>
              </w:rPr>
              <w:t>clotures.test.ts</w:t>
            </w:r>
            <w:r>
              <w:rPr>
                <w:rFonts w:ascii="Calibri" w:eastAsia="Times New Roman" w:hAnsi="Calibri" w:cs="Calibri"/>
                <w:color w:val="1B1A22"/>
                <w:sz w:val="19"/>
                <w:szCs w:val="19"/>
              </w:rPr>
              <w:t>)</w:t>
            </w:r>
          </w:p>
        </w:tc>
      </w:tr>
      <w:tr w:rsidR="00000000" w14:paraId="4A36B42D"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D6BDB3C"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Archivage</w:t>
            </w:r>
            <w:r>
              <w:rPr>
                <w:rFonts w:ascii="Calibri" w:eastAsia="Times New Roman" w:hAnsi="Calibri" w:cs="Calibri"/>
                <w:color w:val="1B1A22"/>
                <w:sz w:val="19"/>
                <w:szCs w:val="19"/>
              </w:rPr>
              <w:t xml:space="preserve"> — annuel, format ouvert, notice, support externe, date certaine (§220-260)</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DC63BEC"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À construire</w:t>
            </w:r>
            <w:r>
              <w:rPr>
                <w:rFonts w:ascii="Calibri" w:eastAsia="Times New Roman" w:hAnsi="Calibri" w:cs="Calibri"/>
                <w:color w:val="1B1A22"/>
                <w:sz w:val="19"/>
                <w:szCs w:val="19"/>
              </w:rPr>
              <w:t xml:space="preserve"> (partie 09)</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8F5D69A"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Tests D1 à D6 à écrire</w:t>
            </w:r>
          </w:p>
        </w:tc>
      </w:tr>
      <w:tr w:rsidR="00000000" w14:paraId="5212A61F"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FAB0135"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Versions majeure / mineure (§330-380)</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E5A2672"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Règle écrite (partie 12) ; registre à construire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381B53C"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w:t>
            </w:r>
          </w:p>
        </w:tc>
      </w:tr>
      <w:tr w:rsidR="00000000" w14:paraId="77303F64"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07BDFAF"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Documentation et code de chaque version (LPF L96 J)</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B41100C"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Dépôt Git privé ; étiquette par version à mettre en place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A115D2D"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Partie 26</w:t>
            </w:r>
          </w:p>
        </w:tc>
      </w:tr>
    </w:tbl>
    <w:p w14:paraId="10FCDA70"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2C7ACC8E">
          <v:rect id="_x0000_i1031" style="width:0;height:1.5pt" o:hralign="center" o:hrstd="t" o:hr="t" fillcolor="#a0a0a0" stroked="f"/>
        </w:pict>
      </w:r>
    </w:p>
    <w:p w14:paraId="4F54BEF2" w14:textId="77777777" w:rsidR="007953BF" w:rsidRDefault="007953BF">
      <w:pPr>
        <w:pStyle w:val="Titre2"/>
        <w:rPr>
          <w:rFonts w:ascii="Calibri" w:eastAsia="Times New Roman" w:hAnsi="Calibri" w:cs="Calibri"/>
        </w:rPr>
      </w:pPr>
      <w:r>
        <w:rPr>
          <w:rFonts w:ascii="Calibri" w:eastAsia="Times New Roman" w:hAnsi="Calibri" w:cs="Calibri"/>
        </w:rPr>
        <w:t>06 — Inaltérabilité</w:t>
      </w:r>
    </w:p>
    <w:p w14:paraId="012E35F7"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Construit.</w:t>
      </w:r>
    </w:p>
    <w:p w14:paraId="64D8F55B" w14:textId="77777777" w:rsidR="007953BF" w:rsidRDefault="007953BF">
      <w:pPr>
        <w:numPr>
          <w:ilvl w:val="0"/>
          <w:numId w:val="7"/>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Aucune table d'encaissement n'accepte de modification ni de suppression</w:t>
      </w:r>
      <w:r>
        <w:rPr>
          <w:rFonts w:ascii="Calibri" w:eastAsia="Times New Roman" w:hAnsi="Calibri" w:cs="Calibri"/>
          <w:color w:val="1B1A22"/>
          <w:sz w:val="21"/>
          <w:szCs w:val="21"/>
        </w:rPr>
        <w:t xml:space="preserve"> : le rôle du serveur n'a que les droits de lecture et d'ajout ; des déclencheurs refusent </w:t>
      </w:r>
      <w:r>
        <w:rPr>
          <w:rStyle w:val="CodeHTML"/>
        </w:rPr>
        <w:t>UPDATE</w:t>
      </w:r>
      <w:r>
        <w:rPr>
          <w:rFonts w:ascii="Calibri" w:eastAsia="Times New Roman" w:hAnsi="Calibri" w:cs="Calibri"/>
          <w:color w:val="1B1A22"/>
          <w:sz w:val="21"/>
          <w:szCs w:val="21"/>
        </w:rPr>
        <w:t xml:space="preserve">, </w:t>
      </w:r>
      <w:r>
        <w:rPr>
          <w:rStyle w:val="CodeHTML"/>
        </w:rPr>
        <w:t>DELETE</w:t>
      </w:r>
      <w:r>
        <w:rPr>
          <w:rFonts w:ascii="Calibri" w:eastAsia="Times New Roman" w:hAnsi="Calibri" w:cs="Calibri"/>
          <w:color w:val="1B1A22"/>
          <w:sz w:val="21"/>
          <w:szCs w:val="21"/>
        </w:rPr>
        <w:t xml:space="preserve"> et </w:t>
      </w:r>
      <w:r>
        <w:rPr>
          <w:rStyle w:val="CodeHTML"/>
        </w:rPr>
        <w:t>TRUNCATE</w:t>
      </w:r>
      <w:r>
        <w:rPr>
          <w:rFonts w:ascii="Calibri" w:eastAsia="Times New Roman" w:hAnsi="Calibri" w:cs="Calibri"/>
          <w:color w:val="1B1A22"/>
          <w:sz w:val="21"/>
          <w:szCs w:val="21"/>
        </w:rPr>
        <w:t xml:space="preserve"> </w:t>
      </w:r>
      <w:r>
        <w:rPr>
          <w:rStyle w:val="lev"/>
          <w:rFonts w:ascii="Calibri" w:eastAsia="Times New Roman" w:hAnsi="Calibri" w:cs="Calibri"/>
          <w:color w:val="1B1A22"/>
          <w:sz w:val="21"/>
          <w:szCs w:val="21"/>
        </w:rPr>
        <w:t>même au propriétaire des tables</w:t>
      </w:r>
      <w:r>
        <w:rPr>
          <w:rFonts w:ascii="Calibri" w:eastAsia="Times New Roman" w:hAnsi="Calibri" w:cs="Calibri"/>
          <w:color w:val="1B1A22"/>
          <w:sz w:val="21"/>
          <w:szCs w:val="21"/>
        </w:rPr>
        <w:t xml:space="preserve"> (journal de caisse, lignes de ticket, journal technique, Z de caisse et de coffre, clôtures, stock).</w:t>
      </w:r>
    </w:p>
    <w:p w14:paraId="72499FD7" w14:textId="77777777" w:rsidR="007953BF" w:rsidRDefault="007953BF">
      <w:pPr>
        <w:numPr>
          <w:ilvl w:val="0"/>
          <w:numId w:val="7"/>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Prix datés</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un changement de prix crée un nouveau tarif avec sa date d'effet ; un ticket garde le prix en vigueur à son heure (test A9).</w:t>
      </w:r>
    </w:p>
    <w:p w14:paraId="0D85E31C" w14:textId="77777777" w:rsidR="007953BF" w:rsidRDefault="007953BF">
      <w:pPr>
        <w:numPr>
          <w:ilvl w:val="0"/>
          <w:numId w:val="7"/>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Chaque opération est scellée</w:t>
      </w:r>
      <w:r>
        <w:rPr>
          <w:rFonts w:ascii="Calibri" w:eastAsia="Times New Roman" w:hAnsi="Calibri" w:cs="Calibri"/>
          <w:color w:val="1B1A22"/>
          <w:sz w:val="21"/>
          <w:szCs w:val="21"/>
        </w:rPr>
        <w:t xml:space="preserve"> : son empreinte SHA-256 couvre ses champs (numéro, heure, type, lieu, stand, caisse, match, opérateur, mode de règlement, montant, détail complet des lignes et de la TVA) et l'empreinte de l'opération précédente de la même caisse. Retirer, modifier ou intervertir une opération casse la chaîne à l'endroit exact (tests A3, A4, A5).</w:t>
      </w:r>
    </w:p>
    <w:p w14:paraId="64666124" w14:textId="77777777" w:rsidR="007953BF" w:rsidRDefault="007953BF">
      <w:pPr>
        <w:numPr>
          <w:ilvl w:val="0"/>
          <w:numId w:val="7"/>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Numéro de justificatif unique</w:t>
      </w:r>
      <w:r>
        <w:rPr>
          <w:rFonts w:ascii="Calibri" w:eastAsia="Times New Roman" w:hAnsi="Calibri" w:cs="Calibri"/>
          <w:color w:val="1B1A22"/>
          <w:sz w:val="21"/>
          <w:szCs w:val="21"/>
        </w:rPr>
        <w:t xml:space="preserve"> par caisse, imposé par la base (test A8).</w:t>
      </w:r>
    </w:p>
    <w:p w14:paraId="46A99638" w14:textId="77777777" w:rsidR="007953BF" w:rsidRDefault="007953BF">
      <w:pPr>
        <w:numPr>
          <w:ilvl w:val="0"/>
          <w:numId w:val="7"/>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Auteur et heure</w:t>
      </w:r>
      <w:r>
        <w:rPr>
          <w:rFonts w:ascii="Calibri" w:eastAsia="Times New Roman" w:hAnsi="Calibri" w:cs="Calibri"/>
          <w:color w:val="1B1A22"/>
          <w:sz w:val="21"/>
          <w:szCs w:val="21"/>
        </w:rPr>
        <w:t xml:space="preserve"> sur chaque opération ; valeurs avant et après dans le journal technique pour tout changement de paramétrage (partie 10).</w:t>
      </w:r>
    </w:p>
    <w:p w14:paraId="72F4AAA6"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Choix assumé</w:t>
      </w:r>
      <w:r>
        <w:rPr>
          <w:rFonts w:ascii="Calibri" w:hAnsi="Calibri" w:cs="Calibri"/>
          <w:color w:val="1B1A22"/>
          <w:sz w:val="21"/>
          <w:szCs w:val="21"/>
        </w:rPr>
        <w:t xml:space="preserve"> : </w:t>
      </w:r>
      <w:r>
        <w:rPr>
          <w:rStyle w:val="lev"/>
          <w:rFonts w:ascii="Calibri" w:hAnsi="Calibri" w:cs="Calibri"/>
          <w:color w:val="1B1A22"/>
          <w:sz w:val="21"/>
          <w:szCs w:val="21"/>
        </w:rPr>
        <w:t>chaînage sans signature par clé privée</w:t>
      </w:r>
      <w:r>
        <w:rPr>
          <w:rFonts w:ascii="Calibri" w:hAnsi="Calibri" w:cs="Calibri"/>
          <w:color w:val="1B1A22"/>
          <w:sz w:val="21"/>
          <w:szCs w:val="21"/>
        </w:rPr>
        <w:t xml:space="preserve"> (décision de Rémi, §15.26). Le chaînage est admis par le BOFiP §140. Sa limite est écrite en partie 28.</w:t>
      </w:r>
    </w:p>
    <w:p w14:paraId="2F438702"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7E0620CD">
          <v:rect id="_x0000_i1032" style="width:0;height:1.5pt" o:hralign="center" o:hrstd="t" o:hr="t" fillcolor="#a0a0a0" stroked="f"/>
        </w:pict>
      </w:r>
    </w:p>
    <w:p w14:paraId="4C9F365C" w14:textId="77777777" w:rsidR="007953BF" w:rsidRDefault="007953BF">
      <w:pPr>
        <w:pStyle w:val="Titre2"/>
        <w:rPr>
          <w:rFonts w:ascii="Calibri" w:eastAsia="Times New Roman" w:hAnsi="Calibri" w:cs="Calibri"/>
        </w:rPr>
      </w:pPr>
      <w:r>
        <w:rPr>
          <w:rFonts w:ascii="Calibri" w:eastAsia="Times New Roman" w:hAnsi="Calibri" w:cs="Calibri"/>
        </w:rPr>
        <w:t>07 — Sécurisation</w:t>
      </w:r>
    </w:p>
    <w:p w14:paraId="12F55113"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Construit.</w:t>
      </w:r>
    </w:p>
    <w:p w14:paraId="6833FDB9" w14:textId="77777777" w:rsidR="007953BF" w:rsidRDefault="007953BF">
      <w:pPr>
        <w:numPr>
          <w:ilvl w:val="0"/>
          <w:numId w:val="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Authentification</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xml:space="preserve">: mot de passe (6 caractères au moins, les plus courants refusés ; empreinte argon2id ; 10 essais par quart d'heure et par adresse) pour les directeurs et les comptes FlaiX Expert ; </w:t>
      </w:r>
      <w:r>
        <w:rPr>
          <w:rStyle w:val="lev"/>
          <w:rFonts w:ascii="Calibri" w:eastAsia="Times New Roman" w:hAnsi="Calibri" w:cs="Calibri"/>
          <w:color w:val="1B1A22"/>
          <w:sz w:val="21"/>
          <w:szCs w:val="21"/>
        </w:rPr>
        <w:t>code personnel à 4 chiffres</w:t>
      </w:r>
      <w:r>
        <w:rPr>
          <w:rFonts w:ascii="Calibri" w:eastAsia="Times New Roman" w:hAnsi="Calibri" w:cs="Calibri"/>
          <w:color w:val="1B1A22"/>
          <w:sz w:val="21"/>
          <w:szCs w:val="21"/>
        </w:rPr>
        <w:t xml:space="preserve"> pour les caissières, valable seulement sur une </w:t>
      </w:r>
      <w:r>
        <w:rPr>
          <w:rStyle w:val="lev"/>
          <w:rFonts w:ascii="Calibri" w:eastAsia="Times New Roman" w:hAnsi="Calibri" w:cs="Calibri"/>
          <w:color w:val="1B1A22"/>
          <w:sz w:val="21"/>
          <w:szCs w:val="21"/>
        </w:rPr>
        <w:t>tablette enregistrée</w:t>
      </w:r>
      <w:r>
        <w:rPr>
          <w:rFonts w:ascii="Calibri" w:eastAsia="Times New Roman" w:hAnsi="Calibri" w:cs="Calibri"/>
          <w:color w:val="1B1A22"/>
          <w:sz w:val="21"/>
          <w:szCs w:val="21"/>
        </w:rPr>
        <w:t>, avec blocage temporaire après des codes erronés.</w:t>
      </w:r>
    </w:p>
    <w:p w14:paraId="2D998869" w14:textId="77777777" w:rsidR="007953BF" w:rsidRDefault="007953BF">
      <w:pPr>
        <w:numPr>
          <w:ilvl w:val="0"/>
          <w:numId w:val="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Rôles</w:t>
      </w:r>
      <w:r>
        <w:rPr>
          <w:rFonts w:ascii="Calibri" w:eastAsia="Times New Roman" w:hAnsi="Calibri" w:cs="Calibri"/>
          <w:color w:val="1B1A22"/>
          <w:sz w:val="21"/>
          <w:szCs w:val="21"/>
        </w:rPr>
        <w:t xml:space="preserve"> : directeur, caissière, vérificateur (prévu), éditeur. Une caissière ne peut ni clôturer, ni changer un paramètre, ni activer la formation : chaque tentative est refusée </w:t>
      </w:r>
      <w:r>
        <w:rPr>
          <w:rStyle w:val="lev"/>
          <w:rFonts w:ascii="Calibri" w:eastAsia="Times New Roman" w:hAnsi="Calibri" w:cs="Calibri"/>
          <w:color w:val="1B1A22"/>
          <w:sz w:val="21"/>
          <w:szCs w:val="21"/>
        </w:rPr>
        <w:t>et inscrite au journal</w:t>
      </w:r>
      <w:r>
        <w:rPr>
          <w:rFonts w:ascii="Calibri" w:eastAsia="Times New Roman" w:hAnsi="Calibri" w:cs="Calibri"/>
          <w:color w:val="1B1A22"/>
          <w:sz w:val="21"/>
          <w:szCs w:val="21"/>
        </w:rPr>
        <w:t xml:space="preserve"> (test B2).</w:t>
      </w:r>
    </w:p>
    <w:p w14:paraId="7612F4B1" w14:textId="77777777" w:rsidR="007953BF" w:rsidRDefault="007953BF">
      <w:pPr>
        <w:numPr>
          <w:ilvl w:val="0"/>
          <w:numId w:val="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Séparation éditeur / lieu</w:t>
      </w:r>
      <w:r>
        <w:rPr>
          <w:rFonts w:ascii="Calibri" w:eastAsia="Times New Roman" w:hAnsi="Calibri" w:cs="Calibri"/>
          <w:color w:val="1B1A22"/>
          <w:sz w:val="21"/>
          <w:szCs w:val="21"/>
        </w:rPr>
        <w:t xml:space="preserve"> : comptes FlaiX Expert distincts, sans lieu ; aucun accès aux données d'encaissement (tests B6, B7).</w:t>
      </w:r>
    </w:p>
    <w:p w14:paraId="50420E41" w14:textId="77777777" w:rsidR="007953BF" w:rsidRDefault="007953BF">
      <w:pPr>
        <w:numPr>
          <w:ilvl w:val="0"/>
          <w:numId w:val="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Protection des échanges</w:t>
      </w:r>
      <w:r>
        <w:rPr>
          <w:rFonts w:ascii="Calibri" w:eastAsia="Times New Roman" w:hAnsi="Calibri" w:cs="Calibri"/>
          <w:color w:val="1B1A22"/>
          <w:sz w:val="21"/>
          <w:szCs w:val="21"/>
        </w:rPr>
        <w:t xml:space="preserve"> : https ; cookies de session </w:t>
      </w:r>
      <w:r>
        <w:rPr>
          <w:rStyle w:val="CodeHTML"/>
        </w:rPr>
        <w:t>httpOnly</w:t>
      </w:r>
      <w:r>
        <w:rPr>
          <w:rFonts w:ascii="Calibri" w:eastAsia="Times New Roman" w:hAnsi="Calibri" w:cs="Calibri"/>
          <w:color w:val="1B1A22"/>
          <w:sz w:val="21"/>
          <w:szCs w:val="21"/>
        </w:rPr>
        <w:t xml:space="preserve"> ; requêtes de modification acceptées seulement en JSON et depuis une origine autorisée.</w:t>
      </w:r>
    </w:p>
    <w:p w14:paraId="1129B972" w14:textId="77777777" w:rsidR="007953BF" w:rsidRDefault="007953BF">
      <w:pPr>
        <w:numPr>
          <w:ilvl w:val="0"/>
          <w:numId w:val="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Base</w:t>
      </w:r>
      <w:r>
        <w:rPr>
          <w:rFonts w:ascii="Calibri" w:eastAsia="Times New Roman" w:hAnsi="Calibri" w:cs="Calibri"/>
          <w:color w:val="1B1A22"/>
          <w:sz w:val="21"/>
          <w:szCs w:val="21"/>
        </w:rPr>
        <w:t xml:space="preserve"> : sécurité par ligne ; le serveur n'a aucun droit de modification sur les journaux ; mots de passe de la base conservés sur le serveur seulement.</w:t>
      </w:r>
    </w:p>
    <w:p w14:paraId="08BBF820" w14:textId="77777777" w:rsidR="007953BF" w:rsidRDefault="007953BF">
      <w:pPr>
        <w:numPr>
          <w:ilvl w:val="0"/>
          <w:numId w:val="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Paramétrage de sécurisation séparé du paramétrage métier</w:t>
      </w:r>
      <w:r>
        <w:rPr>
          <w:rFonts w:ascii="Calibri" w:eastAsia="Times New Roman" w:hAnsi="Calibri" w:cs="Calibri"/>
          <w:color w:val="1B1A22"/>
          <w:sz w:val="21"/>
          <w:szCs w:val="21"/>
        </w:rPr>
        <w:t xml:space="preserve"> : le directeur règle produits, prix et stands ; rien de ce qu'il règle ne touche au scellement ni aux clôtures (§15.5 point 3).</w:t>
      </w:r>
    </w:p>
    <w:p w14:paraId="2E2A8F76"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À construire.</w:t>
      </w:r>
    </w:p>
    <w:p w14:paraId="31CE5F4F" w14:textId="77777777" w:rsidR="007953BF" w:rsidRDefault="007953BF">
      <w:pPr>
        <w:numPr>
          <w:ilvl w:val="0"/>
          <w:numId w:val="9"/>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Compte vérificateur temporaire</w:t>
      </w:r>
      <w:r>
        <w:rPr>
          <w:rFonts w:ascii="Calibri" w:eastAsia="Times New Roman" w:hAnsi="Calibri" w:cs="Calibri"/>
          <w:color w:val="1B1A22"/>
          <w:sz w:val="21"/>
          <w:szCs w:val="21"/>
        </w:rPr>
        <w:t xml:space="preserve"> (voie B du §15.12) : lecture seule, période et durée limitées, créé par le directeur ; création et connexions journalisées (test B5).</w:t>
      </w:r>
    </w:p>
    <w:p w14:paraId="552B3170" w14:textId="77777777" w:rsidR="007953BF" w:rsidRDefault="007953BF">
      <w:pPr>
        <w:numPr>
          <w:ilvl w:val="0"/>
          <w:numId w:val="9"/>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Niveau 2 du back-office</w:t>
      </w:r>
      <w:r>
        <w:rPr>
          <w:rFonts w:ascii="Calibri" w:eastAsia="Times New Roman" w:hAnsi="Calibri" w:cs="Calibri"/>
          <w:color w:val="1B1A22"/>
          <w:sz w:val="21"/>
          <w:szCs w:val="21"/>
        </w:rPr>
        <w:t xml:space="preserve"> (support sur autorisation du lieu) : lecture seule, limitée dans le temps, journalisée chez le lieu. Pas en service.</w:t>
      </w:r>
    </w:p>
    <w:p w14:paraId="75148A6C"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4C2541AC">
          <v:rect id="_x0000_i1033" style="width:0;height:1.5pt" o:hralign="center" o:hrstd="t" o:hr="t" fillcolor="#a0a0a0" stroked="f"/>
        </w:pict>
      </w:r>
    </w:p>
    <w:p w14:paraId="300F514A" w14:textId="77777777" w:rsidR="007953BF" w:rsidRDefault="007953BF">
      <w:pPr>
        <w:pStyle w:val="Titre2"/>
        <w:rPr>
          <w:rFonts w:ascii="Calibri" w:eastAsia="Times New Roman" w:hAnsi="Calibri" w:cs="Calibri"/>
        </w:rPr>
      </w:pPr>
      <w:r>
        <w:rPr>
          <w:rFonts w:ascii="Calibri" w:eastAsia="Times New Roman" w:hAnsi="Calibri" w:cs="Calibri"/>
        </w:rPr>
        <w:t>08 — Conservation des données</w:t>
      </w:r>
    </w:p>
    <w:p w14:paraId="56AE47B1"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Données conservées pour chaque opération</w:t>
      </w:r>
      <w:r>
        <w:rPr>
          <w:rFonts w:ascii="Calibri" w:hAnsi="Calibri" w:cs="Calibri"/>
          <w:color w:val="1B1A22"/>
          <w:sz w:val="21"/>
          <w:szCs w:val="21"/>
        </w:rPr>
        <w:t xml:space="preserve"> : numéro de justificatif, date et heure (vente et réception par le serveur), caisse, stand, match, opérateur, lignes (produit, quantité, prix, TVA), remise ou offert et motif, mode de règlement, montant TTC, ventilation de TVA, empreintes. Également : sessions de caisse, Z (comptage, écart, motif, rectifications), remontées au coffre, clôtures et totaux, journal technique.</w:t>
      </w:r>
    </w:p>
    <w:p w14:paraId="770139E6"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Durée.</w:t>
      </w:r>
    </w:p>
    <w:p w14:paraId="05171C47" w14:textId="77777777" w:rsidR="007953BF" w:rsidRDefault="007953BF">
      <w:pPr>
        <w:numPr>
          <w:ilvl w:val="0"/>
          <w:numId w:val="10"/>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Obligation fiscale : </w:t>
      </w:r>
      <w:r>
        <w:rPr>
          <w:rStyle w:val="lev"/>
          <w:rFonts w:ascii="Calibri" w:eastAsia="Times New Roman" w:hAnsi="Calibri" w:cs="Calibri"/>
          <w:color w:val="1B1A22"/>
          <w:sz w:val="21"/>
          <w:szCs w:val="21"/>
        </w:rPr>
        <w:t>6 ans</w:t>
      </w:r>
      <w:r>
        <w:rPr>
          <w:rFonts w:ascii="Calibri" w:eastAsia="Times New Roman" w:hAnsi="Calibri" w:cs="Calibri"/>
          <w:color w:val="1B1A22"/>
          <w:sz w:val="21"/>
          <w:szCs w:val="21"/>
        </w:rPr>
        <w:t xml:space="preserve"> (LPF art. L102 B).</w:t>
      </w:r>
    </w:p>
    <w:p w14:paraId="62A47CAC" w14:textId="77777777" w:rsidR="007953BF" w:rsidRDefault="007953BF">
      <w:pPr>
        <w:numPr>
          <w:ilvl w:val="0"/>
          <w:numId w:val="10"/>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Décision de Rémi du 2026-09-30 : </w:t>
      </w:r>
      <w:r>
        <w:rPr>
          <w:rStyle w:val="lev"/>
          <w:rFonts w:ascii="Calibri" w:eastAsia="Times New Roman" w:hAnsi="Calibri" w:cs="Calibri"/>
          <w:color w:val="1B1A22"/>
          <w:sz w:val="21"/>
          <w:szCs w:val="21"/>
        </w:rPr>
        <w:t>conservation sans limite</w:t>
      </w:r>
      <w:r>
        <w:rPr>
          <w:rFonts w:ascii="Calibri" w:eastAsia="Times New Roman" w:hAnsi="Calibri" w:cs="Calibri"/>
          <w:color w:val="1B1A22"/>
          <w:sz w:val="21"/>
          <w:szCs w:val="21"/>
        </w:rPr>
        <w:t>, aucune purge.</w:t>
      </w:r>
    </w:p>
    <w:p w14:paraId="5B4FCB1E" w14:textId="77777777" w:rsidR="007953BF" w:rsidRDefault="007953BF">
      <w:pPr>
        <w:numPr>
          <w:ilvl w:val="0"/>
          <w:numId w:val="10"/>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Question posée à l'expert-comptable (G.19) : compatibilité avec le RGPD des données personnelles des tickets (nom de qui a servi, numéro d'abonné).</w:t>
      </w:r>
    </w:p>
    <w:p w14:paraId="1F3028AC"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Lieu</w:t>
      </w:r>
      <w:r>
        <w:rPr>
          <w:rFonts w:ascii="Calibri" w:hAnsi="Calibri" w:cs="Calibri"/>
          <w:color w:val="1B1A22"/>
          <w:sz w:val="21"/>
          <w:szCs w:val="21"/>
        </w:rPr>
        <w:t xml:space="preserve"> : France (hébergeur OVHcloud). </w:t>
      </w:r>
      <w:r>
        <w:rPr>
          <w:rStyle w:val="lev"/>
          <w:rFonts w:ascii="Calibri" w:hAnsi="Calibri" w:cs="Calibri"/>
          <w:color w:val="1B1A22"/>
          <w:sz w:val="21"/>
          <w:szCs w:val="21"/>
        </w:rPr>
        <w:t>Déclaration du lieu de stockage</w:t>
      </w:r>
      <w:r>
        <w:rPr>
          <w:rFonts w:ascii="Calibri" w:hAnsi="Calibri" w:cs="Calibri"/>
          <w:color w:val="1B1A22"/>
          <w:sz w:val="21"/>
          <w:szCs w:val="21"/>
        </w:rPr>
        <w:t xml:space="preserve"> : due par le lieu à son service des impôts dès qu'un tiers héberge. L'application la pré-remplira (À CONSTRUIRE, partie 20).</w:t>
      </w:r>
    </w:p>
    <w:p w14:paraId="1595221B"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Protection</w:t>
      </w:r>
      <w:r>
        <w:rPr>
          <w:rFonts w:ascii="Calibri" w:hAnsi="Calibri" w:cs="Calibri"/>
          <w:color w:val="1B1A22"/>
          <w:sz w:val="21"/>
          <w:szCs w:val="21"/>
        </w:rPr>
        <w:t xml:space="preserve"> : parties 06, 07 et 16.</w:t>
      </w:r>
    </w:p>
    <w:p w14:paraId="154A3490"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4C553E39">
          <v:rect id="_x0000_i1034" style="width:0;height:1.5pt" o:hralign="center" o:hrstd="t" o:hr="t" fillcolor="#a0a0a0" stroked="f"/>
        </w:pict>
      </w:r>
    </w:p>
    <w:p w14:paraId="5ACF281E" w14:textId="77777777" w:rsidR="007953BF" w:rsidRDefault="007953BF">
      <w:pPr>
        <w:pStyle w:val="Titre2"/>
        <w:rPr>
          <w:rFonts w:ascii="Calibri" w:eastAsia="Times New Roman" w:hAnsi="Calibri" w:cs="Calibri"/>
        </w:rPr>
      </w:pPr>
      <w:r>
        <w:rPr>
          <w:rFonts w:ascii="Calibri" w:eastAsia="Times New Roman" w:hAnsi="Calibri" w:cs="Calibri"/>
        </w:rPr>
        <w:t xml:space="preserve">09 — Procédure d'archivage </w:t>
      </w:r>
      <w:r>
        <w:rPr>
          <w:rStyle w:val="Accentuation"/>
          <w:rFonts w:ascii="Calibri" w:eastAsia="Times New Roman" w:hAnsi="Calibri" w:cs="Calibri"/>
        </w:rPr>
        <w:t>(à construire)</w:t>
      </w:r>
    </w:p>
    <w:p w14:paraId="5842DC64"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Une sauvegarde n'est pas une archive</w:t>
      </w:r>
      <w:r>
        <w:rPr>
          <w:rFonts w:ascii="Calibri" w:hAnsi="Calibri" w:cs="Calibri"/>
          <w:color w:val="1B1A22"/>
          <w:sz w:val="21"/>
          <w:szCs w:val="21"/>
        </w:rPr>
        <w:t xml:space="preserve"> (BOFiP §220) : la sauvegarde sert à repartir après une panne ; l'archive est </w:t>
      </w:r>
      <w:r>
        <w:rPr>
          <w:rStyle w:val="lev"/>
          <w:rFonts w:ascii="Calibri" w:hAnsi="Calibri" w:cs="Calibri"/>
          <w:color w:val="1B1A22"/>
          <w:sz w:val="21"/>
          <w:szCs w:val="21"/>
        </w:rPr>
        <w:t>figée, scellée, datée, lisible sans le logiciel</w:t>
      </w:r>
      <w:r>
        <w:rPr>
          <w:rFonts w:ascii="Calibri" w:hAnsi="Calibri" w:cs="Calibri"/>
          <w:color w:val="1B1A22"/>
          <w:sz w:val="21"/>
          <w:szCs w:val="21"/>
        </w:rPr>
        <w:t>.</w:t>
      </w:r>
    </w:p>
    <w:p w14:paraId="180DCBD6"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Spécification</w:t>
      </w:r>
      <w:r>
        <w:rPr>
          <w:rFonts w:ascii="Calibri" w:hAnsi="Calibri" w:cs="Calibri"/>
          <w:color w:val="1B1A22"/>
          <w:sz w:val="21"/>
          <w:szCs w:val="21"/>
        </w:rPr>
        <w:t xml:space="preserve"> (§15.15 et §15.16, archive de référence produite le 2026-09-11) :</w:t>
      </w:r>
    </w:p>
    <w:p w14:paraId="64518C9C" w14:textId="77777777" w:rsidR="007953BF" w:rsidRDefault="007953BF">
      <w:pPr>
        <w:numPr>
          <w:ilvl w:val="0"/>
          <w:numId w:val="11"/>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une archive par exercice et par lieu</w:t>
      </w:r>
      <w:r>
        <w:rPr>
          <w:rFonts w:ascii="Calibri" w:eastAsia="Times New Roman" w:hAnsi="Calibri" w:cs="Calibri"/>
          <w:color w:val="1B1A22"/>
          <w:sz w:val="21"/>
          <w:szCs w:val="21"/>
        </w:rPr>
        <w:t>, générée à la clôture de l'exercice ;</w:t>
      </w:r>
    </w:p>
    <w:p w14:paraId="278C1B88" w14:textId="77777777" w:rsidR="007953BF" w:rsidRDefault="007953BF">
      <w:pPr>
        <w:numPr>
          <w:ilvl w:val="0"/>
          <w:numId w:val="11"/>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fichiers </w:t>
      </w:r>
      <w:r>
        <w:rPr>
          <w:rStyle w:val="lev"/>
          <w:rFonts w:ascii="Calibri" w:eastAsia="Times New Roman" w:hAnsi="Calibri" w:cs="Calibri"/>
          <w:color w:val="1B1A22"/>
          <w:sz w:val="21"/>
          <w:szCs w:val="21"/>
        </w:rPr>
        <w:t>CSV UTF-8 sans BOM</w:t>
      </w:r>
      <w:r>
        <w:rPr>
          <w:rFonts w:ascii="Calibri" w:eastAsia="Times New Roman" w:hAnsi="Calibri" w:cs="Calibri"/>
          <w:color w:val="1B1A22"/>
          <w:sz w:val="21"/>
          <w:szCs w:val="21"/>
        </w:rPr>
        <w:t xml:space="preserve">, séparateur </w:t>
      </w:r>
      <w:r>
        <w:rPr>
          <w:rStyle w:val="CodeHTML"/>
        </w:rPr>
        <w:t>;</w:t>
      </w:r>
      <w:r>
        <w:rPr>
          <w:rFonts w:ascii="Calibri" w:eastAsia="Times New Roman" w:hAnsi="Calibri" w:cs="Calibri"/>
          <w:color w:val="1B1A22"/>
          <w:sz w:val="21"/>
          <w:szCs w:val="21"/>
        </w:rPr>
        <w:t>, fin de ligne CRLF, décimale point, heures ISO 8601 : opérations, lignes de ticket, journal technique, sessions de caisse, clôtures, cumuls ;</w:t>
      </w:r>
    </w:p>
    <w:p w14:paraId="45090899" w14:textId="77777777" w:rsidR="007953BF" w:rsidRDefault="007953BF">
      <w:pPr>
        <w:numPr>
          <w:ilvl w:val="0"/>
          <w:numId w:val="11"/>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notice en français</w:t>
      </w:r>
      <w:r>
        <w:rPr>
          <w:rFonts w:ascii="Calibri" w:eastAsia="Times New Roman" w:hAnsi="Calibri" w:cs="Calibri"/>
          <w:color w:val="1B1A22"/>
          <w:sz w:val="21"/>
          <w:szCs w:val="21"/>
        </w:rPr>
        <w:t xml:space="preserve">, </w:t>
      </w:r>
      <w:r>
        <w:rPr>
          <w:rStyle w:val="lev"/>
          <w:rFonts w:ascii="Calibri" w:eastAsia="Times New Roman" w:hAnsi="Calibri" w:cs="Calibri"/>
          <w:color w:val="1B1A22"/>
          <w:sz w:val="21"/>
          <w:szCs w:val="21"/>
        </w:rPr>
        <w:t>empreintes SHA-256</w:t>
      </w:r>
      <w:r>
        <w:rPr>
          <w:rFonts w:ascii="Calibri" w:eastAsia="Times New Roman" w:hAnsi="Calibri" w:cs="Calibri"/>
          <w:color w:val="1B1A22"/>
          <w:sz w:val="21"/>
          <w:szCs w:val="21"/>
        </w:rPr>
        <w:t xml:space="preserve"> de chaque fichier et empreinte de scellement ;</w:t>
      </w:r>
    </w:p>
    <w:p w14:paraId="069BA768" w14:textId="77777777" w:rsidR="007953BF" w:rsidRDefault="007953BF">
      <w:pPr>
        <w:numPr>
          <w:ilvl w:val="0"/>
          <w:numId w:val="11"/>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copie tableur </w:t>
      </w:r>
      <w:r>
        <w:rPr>
          <w:rStyle w:val="lev"/>
          <w:rFonts w:ascii="Calibri" w:eastAsia="Times New Roman" w:hAnsi="Calibri" w:cs="Calibri"/>
          <w:color w:val="1B1A22"/>
          <w:sz w:val="21"/>
          <w:szCs w:val="21"/>
        </w:rPr>
        <w:t>pour la lecture seulement, qui ne fait pas foi</w:t>
      </w:r>
      <w:r>
        <w:rPr>
          <w:rFonts w:ascii="Calibri" w:eastAsia="Times New Roman" w:hAnsi="Calibri" w:cs="Calibri"/>
          <w:color w:val="1B1A22"/>
          <w:sz w:val="21"/>
          <w:szCs w:val="21"/>
        </w:rPr>
        <w:t xml:space="preserve"> ;</w:t>
      </w:r>
    </w:p>
    <w:p w14:paraId="1C7201BF" w14:textId="77777777" w:rsidR="007953BF" w:rsidRDefault="007953BF">
      <w:pPr>
        <w:numPr>
          <w:ilvl w:val="0"/>
          <w:numId w:val="11"/>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téléchargeable par le lieu</w:t>
      </w:r>
      <w:r>
        <w:rPr>
          <w:rFonts w:ascii="Calibri" w:eastAsia="Times New Roman" w:hAnsi="Calibri" w:cs="Calibri"/>
          <w:color w:val="1B1A22"/>
          <w:sz w:val="21"/>
          <w:szCs w:val="21"/>
        </w:rPr>
        <w:t xml:space="preserve"> et conservée hors du logiciel (support externe) ;</w:t>
      </w:r>
    </w:p>
    <w:p w14:paraId="5CB9C25E" w14:textId="77777777" w:rsidR="007953BF" w:rsidRDefault="007953BF">
      <w:pPr>
        <w:numPr>
          <w:ilvl w:val="0"/>
          <w:numId w:val="11"/>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vérifiable sans FlaiX Expert</w:t>
      </w:r>
      <w:r>
        <w:rPr>
          <w:rFonts w:ascii="Calibri" w:eastAsia="Times New Roman" w:hAnsi="Calibri" w:cs="Calibri"/>
          <w:color w:val="1B1A22"/>
          <w:sz w:val="21"/>
          <w:szCs w:val="21"/>
        </w:rPr>
        <w:t xml:space="preserve"> par un script indépendant fourni.</w:t>
      </w:r>
    </w:p>
    <w:p w14:paraId="5D628303"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Tests à écrire</w:t>
      </w:r>
      <w:r>
        <w:rPr>
          <w:rFonts w:ascii="Calibri" w:hAnsi="Calibri" w:cs="Calibri"/>
          <w:color w:val="1B1A22"/>
          <w:sz w:val="21"/>
          <w:szCs w:val="21"/>
        </w:rPr>
        <w:t xml:space="preserve"> : D1 à D6 du §15.19 (structure, vérification indépendante, lecture sans le logiciel, altération détectée, totaux conservés en ligne après une purge, sauvegarde ≠ archive).</w:t>
      </w:r>
    </w:p>
    <w:p w14:paraId="2748F564"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7D40E945">
          <v:rect id="_x0000_i1035" style="width:0;height:1.5pt" o:hralign="center" o:hrstd="t" o:hr="t" fillcolor="#a0a0a0" stroked="f"/>
        </w:pict>
      </w:r>
    </w:p>
    <w:p w14:paraId="34FAB500" w14:textId="77777777" w:rsidR="007953BF" w:rsidRDefault="007953BF">
      <w:pPr>
        <w:pStyle w:val="Titre2"/>
        <w:rPr>
          <w:rFonts w:ascii="Calibri" w:eastAsia="Times New Roman" w:hAnsi="Calibri" w:cs="Calibri"/>
        </w:rPr>
      </w:pPr>
      <w:r>
        <w:rPr>
          <w:rFonts w:ascii="Calibri" w:eastAsia="Times New Roman" w:hAnsi="Calibri" w:cs="Calibri"/>
        </w:rPr>
        <w:t>10 — Journalisation et traçabilité</w:t>
      </w:r>
    </w:p>
    <w:p w14:paraId="10FE9945"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Construit — deux journaux chaînés.</w:t>
      </w:r>
    </w:p>
    <w:p w14:paraId="124A9E7F" w14:textId="77777777" w:rsidR="007953BF" w:rsidRDefault="007953BF">
      <w:pPr>
        <w:numPr>
          <w:ilvl w:val="0"/>
          <w:numId w:val="12"/>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Journal de caisse</w:t>
      </w:r>
      <w:r>
        <w:rPr>
          <w:rFonts w:ascii="Calibri" w:eastAsia="Times New Roman" w:hAnsi="Calibri" w:cs="Calibri"/>
          <w:color w:val="1B1A22"/>
          <w:sz w:val="21"/>
          <w:szCs w:val="21"/>
        </w:rPr>
        <w:t xml:space="preserve"> (par caisse) : ouverture, ventes, annulations, clôture.</w:t>
      </w:r>
    </w:p>
    <w:p w14:paraId="53AF2AFA" w14:textId="77777777" w:rsidR="007953BF" w:rsidRDefault="007953BF">
      <w:pPr>
        <w:numPr>
          <w:ilvl w:val="0"/>
          <w:numId w:val="12"/>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Journal technique</w:t>
      </w:r>
      <w:r>
        <w:rPr>
          <w:rFonts w:ascii="Calibri" w:eastAsia="Times New Roman" w:hAnsi="Calibri" w:cs="Calibri"/>
          <w:color w:val="1B1A22"/>
          <w:sz w:val="21"/>
          <w:szCs w:val="21"/>
        </w:rPr>
        <w:t xml:space="preserve"> (par lieu, numéroté sans trou, chaîné) : connexions, refus et blocages, déconnexions, changements de mot de passe, accès refusés, création et modification de stands, caisses, produits et </w:t>
      </w:r>
      <w:r>
        <w:rPr>
          <w:rStyle w:val="lev"/>
          <w:rFonts w:ascii="Calibri" w:eastAsia="Times New Roman" w:hAnsi="Calibri" w:cs="Calibri"/>
          <w:color w:val="1B1A22"/>
          <w:sz w:val="21"/>
          <w:szCs w:val="21"/>
        </w:rPr>
        <w:t>tarifs</w:t>
      </w:r>
      <w:r>
        <w:rPr>
          <w:rFonts w:ascii="Calibri" w:eastAsia="Times New Roman" w:hAnsi="Calibri" w:cs="Calibri"/>
          <w:color w:val="1B1A22"/>
          <w:sz w:val="21"/>
          <w:szCs w:val="21"/>
        </w:rPr>
        <w:t xml:space="preserve"> (avant / après), réglages de caisse, ouverture et clôture des matchs, Z de caisse et de coffre, </w:t>
      </w:r>
      <w:r>
        <w:rPr>
          <w:rStyle w:val="lev"/>
          <w:rFonts w:ascii="Calibri" w:eastAsia="Times New Roman" w:hAnsi="Calibri" w:cs="Calibri"/>
          <w:color w:val="1B1A22"/>
          <w:sz w:val="21"/>
          <w:szCs w:val="21"/>
        </w:rPr>
        <w:t>rectifications</w:t>
      </w:r>
      <w:r>
        <w:rPr>
          <w:rFonts w:ascii="Calibri" w:eastAsia="Times New Roman" w:hAnsi="Calibri" w:cs="Calibri"/>
          <w:color w:val="1B1A22"/>
          <w:sz w:val="21"/>
          <w:szCs w:val="21"/>
        </w:rPr>
        <w:t>, clôtures du mois et de l'exercice, tickets édités, tablettes enregistrées ou retirées, entrées et sorties du mode formation, exports pour l'expert-comptable, vérifications d'intégrité (y compris celles faites par FlaiX Expert), options activées par FlaiX Expert, comptes directeur ajoutés et mots de passe provisoires donnés par FlaiX Expert.</w:t>
      </w:r>
    </w:p>
    <w:p w14:paraId="0210A58C"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Chaque entrée</w:t>
      </w:r>
      <w:r>
        <w:rPr>
          <w:rFonts w:ascii="Calibri" w:hAnsi="Calibri" w:cs="Calibri"/>
          <w:color w:val="1B1A22"/>
          <w:sz w:val="21"/>
          <w:szCs w:val="21"/>
        </w:rPr>
        <w:t xml:space="preserve"> </w:t>
      </w:r>
      <w:r>
        <w:rPr>
          <w:rFonts w:ascii="Calibri" w:hAnsi="Calibri" w:cs="Calibri"/>
          <w:color w:val="1B1A22"/>
          <w:sz w:val="21"/>
          <w:szCs w:val="21"/>
        </w:rPr>
        <w:t>porte l'auteur, la date et l'heure, et une référence à l'objet concerné. Le directeur consulte le journal dans Paramètres → Conformité ; le journal est vérifiable à tout moment (partie 15).</w:t>
      </w:r>
    </w:p>
    <w:p w14:paraId="53AB8E7A" w14:textId="77777777" w:rsidR="007953BF" w:rsidRDefault="007953BF">
      <w:pPr>
        <w:pStyle w:val="NormalWeb"/>
        <w:rPr>
          <w:rFonts w:ascii="Calibri" w:hAnsi="Calibri" w:cs="Calibri"/>
          <w:color w:val="1B1A22"/>
          <w:sz w:val="21"/>
          <w:szCs w:val="21"/>
        </w:rPr>
      </w:pPr>
      <w:r>
        <w:rPr>
          <w:rFonts w:ascii="Calibri" w:hAnsi="Calibri" w:cs="Calibri"/>
          <w:color w:val="1B1A22"/>
          <w:sz w:val="21"/>
          <w:szCs w:val="21"/>
        </w:rPr>
        <w:t xml:space="preserve">Liste complète des types : </w:t>
      </w:r>
      <w:r>
        <w:rPr>
          <w:rStyle w:val="CodeHTML"/>
        </w:rPr>
        <w:t>packages/domain/src/journal-technique.ts</w:t>
      </w:r>
      <w:r>
        <w:rPr>
          <w:rFonts w:ascii="Calibri" w:hAnsi="Calibri" w:cs="Calibri"/>
          <w:color w:val="1B1A22"/>
          <w:sz w:val="21"/>
          <w:szCs w:val="21"/>
        </w:rPr>
        <w:t>.</w:t>
      </w:r>
    </w:p>
    <w:p w14:paraId="7785B503"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3E41F0BB">
          <v:rect id="_x0000_i1036" style="width:0;height:1.5pt" o:hralign="center" o:hrstd="t" o:hr="t" fillcolor="#a0a0a0" stroked="f"/>
        </w:pict>
      </w:r>
    </w:p>
    <w:p w14:paraId="5F7E2B00" w14:textId="77777777" w:rsidR="007953BF" w:rsidRDefault="007953BF">
      <w:pPr>
        <w:pStyle w:val="Titre2"/>
        <w:rPr>
          <w:rFonts w:ascii="Calibri" w:eastAsia="Times New Roman" w:hAnsi="Calibri" w:cs="Calibri"/>
        </w:rPr>
      </w:pPr>
      <w:r>
        <w:rPr>
          <w:rFonts w:ascii="Calibri" w:eastAsia="Times New Roman" w:hAnsi="Calibri" w:cs="Calibri"/>
        </w:rPr>
        <w:t xml:space="preserve">11 — Annulations, offerts, remises, rectifications </w:t>
      </w:r>
      <w:r>
        <w:rPr>
          <w:rStyle w:val="Accentuation"/>
          <w:rFonts w:ascii="Calibri" w:eastAsia="Times New Roman" w:hAnsi="Calibri" w:cs="Calibri"/>
        </w:rPr>
        <w:t>(réécrit pour FlaiX Expert)</w:t>
      </w:r>
    </w:p>
    <w:p w14:paraId="06448308" w14:textId="77777777" w:rsidR="007953BF" w:rsidRDefault="007953BF">
      <w:pPr>
        <w:pStyle w:val="NormalWeb"/>
        <w:rPr>
          <w:rFonts w:ascii="Calibri" w:hAnsi="Calibri" w:cs="Calibri"/>
          <w:color w:val="1B1A22"/>
          <w:sz w:val="21"/>
          <w:szCs w:val="21"/>
        </w:rPr>
      </w:pPr>
      <w:r>
        <w:rPr>
          <w:rFonts w:ascii="Calibri" w:hAnsi="Calibri" w:cs="Calibri"/>
          <w:color w:val="1B1A22"/>
          <w:sz w:val="21"/>
          <w:szCs w:val="21"/>
        </w:rPr>
        <w:t xml:space="preserve">FlaiX Expert </w:t>
      </w:r>
      <w:r>
        <w:rPr>
          <w:rStyle w:val="lev"/>
          <w:rFonts w:ascii="Calibri" w:hAnsi="Calibri" w:cs="Calibri"/>
          <w:color w:val="1B1A22"/>
          <w:sz w:val="21"/>
          <w:szCs w:val="21"/>
        </w:rPr>
        <w:t>ne fait pas de remboursement par carte</w:t>
      </w:r>
      <w:r>
        <w:rPr>
          <w:rFonts w:ascii="Calibri" w:hAnsi="Calibri" w:cs="Calibri"/>
          <w:color w:val="1B1A22"/>
          <w:sz w:val="21"/>
          <w:szCs w:val="21"/>
        </w:rPr>
        <w:t xml:space="preserve"> : le TPE n'est pas relié. Les corrections possibles sont les suivantes. </w:t>
      </w:r>
      <w:r>
        <w:rPr>
          <w:rStyle w:val="lev"/>
          <w:rFonts w:ascii="Calibri" w:hAnsi="Calibri" w:cs="Calibri"/>
          <w:color w:val="1B1A22"/>
          <w:sz w:val="21"/>
          <w:szCs w:val="21"/>
        </w:rPr>
        <w:t>Aucune n'efface l'opération d'origine.</w:t>
      </w:r>
    </w:p>
    <w:tbl>
      <w:tblPr>
        <w:tblW w:w="5000" w:type="pct"/>
        <w:tblCellMar>
          <w:top w:w="15" w:type="dxa"/>
          <w:left w:w="15" w:type="dxa"/>
          <w:bottom w:w="15" w:type="dxa"/>
          <w:right w:w="15" w:type="dxa"/>
        </w:tblCellMar>
        <w:tblLook w:val="04A0" w:firstRow="1" w:lastRow="0" w:firstColumn="1" w:lastColumn="0" w:noHBand="0" w:noVBand="1"/>
      </w:tblPr>
      <w:tblGrid>
        <w:gridCol w:w="1671"/>
        <w:gridCol w:w="5428"/>
        <w:gridCol w:w="2523"/>
      </w:tblGrid>
      <w:tr w:rsidR="00000000" w14:paraId="7EABE168" w14:textId="77777777">
        <w:trPr>
          <w:tblHeader/>
        </w:trPr>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0D639031"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Situation</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3F9F69D0"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Ce que fait FlaiX Expert</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61AB2B60"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Trace</w:t>
            </w:r>
          </w:p>
        </w:tc>
      </w:tr>
      <w:tr w:rsidR="00000000" w14:paraId="7EB613EC"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2F34353"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Erreur avant validation du ticket</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96A9A65"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Rien n'est enregistré tant que la vente n'est pas validée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9B20D54"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w:t>
            </w:r>
          </w:p>
        </w:tc>
      </w:tr>
      <w:tr w:rsidR="00000000" w14:paraId="56DF1375"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A273EB8"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Annulation d'un ticket</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E9DE798"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Opération inverse du même montant, rattachée au ticket d'origine, avec motif et auteur ; le ticket d'origine demeure (test A6)</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ACA8863"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Journal de caisse</w:t>
            </w:r>
          </w:p>
        </w:tc>
      </w:tr>
      <w:tr w:rsidR="00000000" w14:paraId="7F59D479"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6FA5302"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Offert</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C4F55F6"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Montant offert sur le ticket scellé, avec motif obligatoire, déduit du total et compté à part ; son traitement en TVA est posé à l'expert-comptable (question C)</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AA176DD"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Ticket et Z</w:t>
            </w:r>
          </w:p>
        </w:tc>
      </w:tr>
      <w:tr w:rsidR="00000000" w14:paraId="00007CB6"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4391E25"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Remise</w:t>
            </w:r>
            <w:r>
              <w:rPr>
                <w:rFonts w:ascii="Calibri" w:eastAsia="Times New Roman" w:hAnsi="Calibri" w:cs="Calibri"/>
                <w:color w:val="1B1A22"/>
                <w:sz w:val="19"/>
                <w:szCs w:val="19"/>
              </w:rPr>
              <w:t xml:space="preserve"> (abonné)</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E463268"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Remise inscrite dans le ticket scellé, avec le numéro d'abonné</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60885C4"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Ticket</w:t>
            </w:r>
          </w:p>
        </w:tc>
      </w:tr>
      <w:tr w:rsidR="00000000" w14:paraId="0D6A9734"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DBCF0B0"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Erreur de comptage du tiroir</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46A6DF9"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Rectification du Z</w:t>
            </w:r>
            <w:r>
              <w:rPr>
                <w:rFonts w:ascii="Calibri" w:eastAsia="Times New Roman" w:hAnsi="Calibri" w:cs="Calibri"/>
                <w:color w:val="1B1A22"/>
                <w:sz w:val="19"/>
                <w:szCs w:val="19"/>
              </w:rPr>
              <w:t xml:space="preserve"> : nouvel enregistrement avec motif et signature en toutes lettres ; le Z d'origine demeure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209CF82"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Journal technique (</w:t>
            </w:r>
            <w:r>
              <w:rPr>
                <w:rStyle w:val="CodeHTML"/>
              </w:rPr>
              <w:t>z_caisse_rectifie</w:t>
            </w:r>
            <w:r>
              <w:rPr>
                <w:rFonts w:ascii="Calibri" w:eastAsia="Times New Roman" w:hAnsi="Calibri" w:cs="Calibri"/>
                <w:color w:val="1B1A22"/>
                <w:sz w:val="19"/>
                <w:szCs w:val="19"/>
              </w:rPr>
              <w:t>)</w:t>
            </w:r>
          </w:p>
        </w:tc>
      </w:tr>
      <w:tr w:rsidR="00000000" w14:paraId="4E962C1D"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D376BB9"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Erreur sur le coffre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22C7D22"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Annulation d'une remontée, rectification du Z du coffre, mêmes règles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FC974E4"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Journal technique</w:t>
            </w:r>
          </w:p>
        </w:tc>
      </w:tr>
      <w:tr w:rsidR="00000000" w14:paraId="5711E226"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22733D7" w14:textId="77777777" w:rsidR="007953BF" w:rsidRDefault="007953BF">
            <w:pPr>
              <w:spacing w:before="80" w:after="200"/>
              <w:rPr>
                <w:rFonts w:ascii="Calibri" w:eastAsia="Times New Roman" w:hAnsi="Calibri" w:cs="Calibri"/>
                <w:color w:val="1B1A22"/>
                <w:sz w:val="19"/>
                <w:szCs w:val="19"/>
              </w:rPr>
            </w:pPr>
            <w:r>
              <w:rPr>
                <w:rStyle w:val="lev"/>
                <w:rFonts w:ascii="Calibri" w:eastAsia="Times New Roman" w:hAnsi="Calibri" w:cs="Calibri"/>
                <w:color w:val="1B1A22"/>
                <w:sz w:val="19"/>
                <w:szCs w:val="19"/>
              </w:rPr>
              <w:t>Erreur de prix d'un produit</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4FCC11B"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Nouveau tarif daté ; les tickets passés gardent leur prix (test A9)</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F890857"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Journal technique (</w:t>
            </w:r>
            <w:r>
              <w:rPr>
                <w:rStyle w:val="CodeHTML"/>
              </w:rPr>
              <w:t>tarif_cree</w:t>
            </w:r>
            <w:r>
              <w:rPr>
                <w:rFonts w:ascii="Calibri" w:eastAsia="Times New Roman" w:hAnsi="Calibri" w:cs="Calibri"/>
                <w:color w:val="1B1A22"/>
                <w:sz w:val="19"/>
                <w:szCs w:val="19"/>
              </w:rPr>
              <w:t>)</w:t>
            </w:r>
          </w:p>
        </w:tc>
      </w:tr>
    </w:tbl>
    <w:p w14:paraId="641D9EE6"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Le jour où la carte sera encaissée par le logiciel</w:t>
      </w:r>
      <w:r>
        <w:rPr>
          <w:rFonts w:ascii="Calibri" w:hAnsi="Calibri" w:cs="Calibri"/>
          <w:color w:val="1B1A22"/>
          <w:sz w:val="21"/>
          <w:szCs w:val="21"/>
        </w:rPr>
        <w:t xml:space="preserve"> (partie 27) : paiement refusé, paiement annulé, remboursement total ou partiel par le prestataire, ticket réglé en deux moyens. Ce seront de nouveaux types d'opérations (§15.17), dans une version majeure.</w:t>
      </w:r>
    </w:p>
    <w:p w14:paraId="5F65C840"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02BD08BC">
          <v:rect id="_x0000_i1037" style="width:0;height:1.5pt" o:hralign="center" o:hrstd="t" o:hr="t" fillcolor="#a0a0a0" stroked="f"/>
        </w:pict>
      </w:r>
    </w:p>
    <w:p w14:paraId="5EC03243" w14:textId="77777777" w:rsidR="007953BF" w:rsidRDefault="007953BF">
      <w:pPr>
        <w:pStyle w:val="Titre2"/>
        <w:rPr>
          <w:rFonts w:ascii="Calibri" w:eastAsia="Times New Roman" w:hAnsi="Calibri" w:cs="Calibri"/>
        </w:rPr>
      </w:pPr>
      <w:r>
        <w:rPr>
          <w:rFonts w:ascii="Calibri" w:eastAsia="Times New Roman" w:hAnsi="Calibri" w:cs="Calibri"/>
        </w:rPr>
        <w:t>12 — Gestion des versions</w:t>
      </w:r>
    </w:p>
    <w:p w14:paraId="0E552D94"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Règle</w:t>
      </w:r>
      <w:r>
        <w:rPr>
          <w:rFonts w:ascii="Calibri" w:hAnsi="Calibri" w:cs="Calibri"/>
          <w:color w:val="1B1A22"/>
          <w:sz w:val="21"/>
          <w:szCs w:val="21"/>
        </w:rPr>
        <w:t xml:space="preserve"> (BOFiP §330-380, §15.5) :</w:t>
      </w:r>
    </w:p>
    <w:p w14:paraId="74C23631" w14:textId="77777777" w:rsidR="007953BF" w:rsidRDefault="007953BF">
      <w:pPr>
        <w:numPr>
          <w:ilvl w:val="0"/>
          <w:numId w:val="13"/>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version majeure</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xml:space="preserve">: toute modification qui touche l'une des quatre conditions (champs scellés, calcul des empreintes, droits et déclencheurs de la base, clôtures et totaux, conservation, archivage, flux d'encaissement). Elle </w:t>
      </w:r>
      <w:r>
        <w:rPr>
          <w:rStyle w:val="lev"/>
          <w:rFonts w:ascii="Calibri" w:eastAsia="Times New Roman" w:hAnsi="Calibri" w:cs="Calibri"/>
          <w:color w:val="1B1A22"/>
          <w:sz w:val="21"/>
          <w:szCs w:val="21"/>
        </w:rPr>
        <w:t>invalide l'attestation</w:t>
      </w:r>
      <w:r>
        <w:rPr>
          <w:rFonts w:ascii="Calibri" w:eastAsia="Times New Roman" w:hAnsi="Calibri" w:cs="Calibri"/>
          <w:color w:val="1B1A22"/>
          <w:sz w:val="21"/>
          <w:szCs w:val="21"/>
        </w:rPr>
        <w:t xml:space="preserve">, qui doit être </w:t>
      </w:r>
      <w:r>
        <w:rPr>
          <w:rStyle w:val="lev"/>
          <w:rFonts w:ascii="Calibri" w:eastAsia="Times New Roman" w:hAnsi="Calibri" w:cs="Calibri"/>
          <w:color w:val="1B1A22"/>
          <w:sz w:val="21"/>
          <w:szCs w:val="21"/>
        </w:rPr>
        <w:t>réémise à chaque lieu</w:t>
      </w:r>
      <w:r>
        <w:rPr>
          <w:rFonts w:ascii="Calibri" w:eastAsia="Times New Roman" w:hAnsi="Calibri" w:cs="Calibri"/>
          <w:color w:val="1B1A22"/>
          <w:sz w:val="21"/>
          <w:szCs w:val="21"/>
        </w:rPr>
        <w:t xml:space="preserve"> ;</w:t>
      </w:r>
    </w:p>
    <w:p w14:paraId="59A5F52D" w14:textId="77777777" w:rsidR="007953BF" w:rsidRDefault="007953BF">
      <w:pPr>
        <w:numPr>
          <w:ilvl w:val="0"/>
          <w:numId w:val="13"/>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version mineure</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tout le reste (écrans, gestion, stock, planning, rapports…). L'attestation reste valable si elle désigne la racine de la dernière version majeure et si l'éditeur s'engage à ne créer de sous-versions que pour des versions mineures.</w:t>
      </w:r>
    </w:p>
    <w:p w14:paraId="4EBBB775"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Exemples</w:t>
      </w:r>
      <w:r>
        <w:rPr>
          <w:rFonts w:ascii="Calibri" w:hAnsi="Calibri" w:cs="Calibri"/>
          <w:color w:val="1B1A22"/>
          <w:sz w:val="21"/>
          <w:szCs w:val="21"/>
        </w:rPr>
        <w:t xml:space="preserve"> : la vente sans réseau, une signature par clé privée ou le paiement intégré (partie 27) sont </w:t>
      </w:r>
      <w:r>
        <w:rPr>
          <w:rStyle w:val="lev"/>
          <w:rFonts w:ascii="Calibri" w:hAnsi="Calibri" w:cs="Calibri"/>
          <w:color w:val="1B1A22"/>
          <w:sz w:val="21"/>
          <w:szCs w:val="21"/>
        </w:rPr>
        <w:t>majeurs</w:t>
      </w:r>
      <w:r>
        <w:rPr>
          <w:rFonts w:ascii="Calibri" w:hAnsi="Calibri" w:cs="Calibri"/>
          <w:color w:val="1B1A22"/>
          <w:sz w:val="21"/>
          <w:szCs w:val="21"/>
        </w:rPr>
        <w:t xml:space="preserve">. Le stock des ingrédients, le Click &amp; Collect ou un nouvel écran de résultats sont </w:t>
      </w:r>
      <w:r>
        <w:rPr>
          <w:rStyle w:val="lev"/>
          <w:rFonts w:ascii="Calibri" w:hAnsi="Calibri" w:cs="Calibri"/>
          <w:color w:val="1B1A22"/>
          <w:sz w:val="21"/>
          <w:szCs w:val="21"/>
        </w:rPr>
        <w:t>mineurs</w:t>
      </w:r>
      <w:r>
        <w:rPr>
          <w:rFonts w:ascii="Calibri" w:hAnsi="Calibri" w:cs="Calibri"/>
          <w:color w:val="1B1A22"/>
          <w:sz w:val="21"/>
          <w:szCs w:val="21"/>
        </w:rPr>
        <w:t>.</w:t>
      </w:r>
    </w:p>
    <w:p w14:paraId="1279E3DD"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À construire</w:t>
      </w:r>
      <w:r>
        <w:rPr>
          <w:rFonts w:ascii="Calibri" w:hAnsi="Calibri" w:cs="Calibri"/>
          <w:color w:val="1B1A22"/>
          <w:sz w:val="21"/>
          <w:szCs w:val="21"/>
        </w:rPr>
        <w:t xml:space="preserve"> : le </w:t>
      </w:r>
      <w:r>
        <w:rPr>
          <w:rStyle w:val="lev"/>
          <w:rFonts w:ascii="Calibri" w:hAnsi="Calibri" w:cs="Calibri"/>
          <w:color w:val="1B1A22"/>
          <w:sz w:val="21"/>
          <w:szCs w:val="21"/>
        </w:rPr>
        <w:t>registre des versions</w:t>
      </w:r>
      <w:r>
        <w:rPr>
          <w:rFonts w:ascii="Calibri" w:hAnsi="Calibri" w:cs="Calibri"/>
          <w:color w:val="1B1A22"/>
          <w:sz w:val="21"/>
          <w:szCs w:val="21"/>
        </w:rPr>
        <w:t xml:space="preserve"> </w:t>
      </w:r>
      <w:r>
        <w:rPr>
          <w:rFonts w:ascii="Calibri" w:hAnsi="Calibri" w:cs="Calibri"/>
          <w:color w:val="1B1A22"/>
          <w:sz w:val="21"/>
          <w:szCs w:val="21"/>
        </w:rPr>
        <w:t>(numéro, date, nature, modifications, justification du classement, tests rejoués), tenu dans le dépôt et visible dans le back-office.</w:t>
      </w:r>
    </w:p>
    <w:p w14:paraId="69275F63"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2904BCC3">
          <v:rect id="_x0000_i1038" style="width:0;height:1.5pt" o:hralign="center" o:hrstd="t" o:hr="t" fillcolor="#a0a0a0" stroked="f"/>
        </w:pict>
      </w:r>
    </w:p>
    <w:p w14:paraId="26834B75" w14:textId="77777777" w:rsidR="007953BF" w:rsidRDefault="007953BF">
      <w:pPr>
        <w:pStyle w:val="Titre2"/>
        <w:rPr>
          <w:rFonts w:ascii="Calibri" w:eastAsia="Times New Roman" w:hAnsi="Calibri" w:cs="Calibri"/>
        </w:rPr>
      </w:pPr>
      <w:r>
        <w:rPr>
          <w:rFonts w:ascii="Calibri" w:eastAsia="Times New Roman" w:hAnsi="Calibri" w:cs="Calibri"/>
        </w:rPr>
        <w:t>13 — Procédure de mise à jour</w:t>
      </w:r>
    </w:p>
    <w:p w14:paraId="15F28FF6"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Construit</w:t>
      </w:r>
      <w:r>
        <w:rPr>
          <w:rFonts w:ascii="Calibri" w:hAnsi="Calibri" w:cs="Calibri"/>
          <w:color w:val="1B1A22"/>
          <w:sz w:val="21"/>
          <w:szCs w:val="21"/>
        </w:rPr>
        <w:t xml:space="preserve"> : chaque mise en ligne passe par le dépôt Git, les tests automatiques (environ 360), </w:t>
      </w:r>
      <w:r>
        <w:rPr>
          <w:rStyle w:val="lev"/>
          <w:rFonts w:ascii="Calibri" w:hAnsi="Calibri" w:cs="Calibri"/>
          <w:color w:val="1B1A22"/>
          <w:sz w:val="21"/>
          <w:szCs w:val="21"/>
        </w:rPr>
        <w:t>une sauvegarde de la base juste avant</w:t>
      </w:r>
      <w:r>
        <w:rPr>
          <w:rFonts w:ascii="Calibri" w:hAnsi="Calibri" w:cs="Calibri"/>
          <w:color w:val="1B1A22"/>
          <w:sz w:val="21"/>
          <w:szCs w:val="21"/>
        </w:rPr>
        <w:t>, puis le déploiement. Les migrations de base sont appliquées dans l'ordre et ne réécrivent jamais une donnée d'encaissement.</w:t>
      </w:r>
    </w:p>
    <w:p w14:paraId="15899CA6"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À formaliser</w:t>
      </w:r>
      <w:r>
        <w:rPr>
          <w:rFonts w:ascii="Calibri" w:hAnsi="Calibri" w:cs="Calibri"/>
          <w:color w:val="1B1A22"/>
          <w:sz w:val="21"/>
          <w:szCs w:val="21"/>
        </w:rPr>
        <w:t xml:space="preserve"> (étapes de Rémi) :</w:t>
      </w:r>
    </w:p>
    <w:p w14:paraId="5B4B3C55" w14:textId="77777777" w:rsidR="007953BF" w:rsidRDefault="007953BF">
      <w:pPr>
        <w:numPr>
          <w:ilvl w:val="0"/>
          <w:numId w:val="14"/>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développement ;</w:t>
      </w:r>
    </w:p>
    <w:p w14:paraId="70567346" w14:textId="77777777" w:rsidR="007953BF" w:rsidRDefault="007953BF">
      <w:pPr>
        <w:numPr>
          <w:ilvl w:val="0"/>
          <w:numId w:val="14"/>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liste des modifications ;</w:t>
      </w:r>
    </w:p>
    <w:p w14:paraId="3F9141EF" w14:textId="77777777" w:rsidR="007953BF" w:rsidRDefault="007953BF">
      <w:pPr>
        <w:numPr>
          <w:ilvl w:val="0"/>
          <w:numId w:val="14"/>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classement majeur ou mineur, justifié par écrit</w:t>
      </w:r>
      <w:r>
        <w:rPr>
          <w:rFonts w:ascii="Calibri" w:eastAsia="Times New Roman" w:hAnsi="Calibri" w:cs="Calibri"/>
          <w:color w:val="1B1A22"/>
          <w:sz w:val="21"/>
          <w:szCs w:val="21"/>
        </w:rPr>
        <w:t xml:space="preserve"> ;</w:t>
      </w:r>
    </w:p>
    <w:p w14:paraId="429B5141" w14:textId="77777777" w:rsidR="007953BF" w:rsidRDefault="007953BF">
      <w:pPr>
        <w:numPr>
          <w:ilvl w:val="0"/>
          <w:numId w:val="14"/>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tests (plan complet rejoué pour une version majeure) ;</w:t>
      </w:r>
    </w:p>
    <w:p w14:paraId="5B8905E0" w14:textId="77777777" w:rsidR="007953BF" w:rsidRDefault="007953BF">
      <w:pPr>
        <w:numPr>
          <w:ilvl w:val="0"/>
          <w:numId w:val="14"/>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validation ;</w:t>
      </w:r>
    </w:p>
    <w:p w14:paraId="32B3455B" w14:textId="77777777" w:rsidR="007953BF" w:rsidRDefault="007953BF">
      <w:pPr>
        <w:numPr>
          <w:ilvl w:val="0"/>
          <w:numId w:val="14"/>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mise en ligne hors des heures de match</w:t>
      </w:r>
      <w:r>
        <w:rPr>
          <w:rFonts w:ascii="Calibri" w:eastAsia="Times New Roman" w:hAnsi="Calibri" w:cs="Calibri"/>
          <w:color w:val="1B1A22"/>
          <w:sz w:val="21"/>
          <w:szCs w:val="21"/>
        </w:rPr>
        <w:t xml:space="preserve"> ;</w:t>
      </w:r>
    </w:p>
    <w:p w14:paraId="22788BE0" w14:textId="77777777" w:rsidR="007953BF" w:rsidRDefault="007953BF">
      <w:pPr>
        <w:numPr>
          <w:ilvl w:val="0"/>
          <w:numId w:val="14"/>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inscription au registre des versions ;</w:t>
      </w:r>
    </w:p>
    <w:p w14:paraId="059AE5B9" w14:textId="77777777" w:rsidR="007953BF" w:rsidRDefault="007953BF">
      <w:pPr>
        <w:numPr>
          <w:ilvl w:val="0"/>
          <w:numId w:val="14"/>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mise à jour de ce dossier ;</w:t>
      </w:r>
    </w:p>
    <w:p w14:paraId="226B996A" w14:textId="77777777" w:rsidR="007953BF" w:rsidRDefault="007953BF">
      <w:pPr>
        <w:numPr>
          <w:ilvl w:val="0"/>
          <w:numId w:val="14"/>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réémission des attestations</w:t>
      </w:r>
      <w:r>
        <w:rPr>
          <w:rFonts w:ascii="Calibri" w:eastAsia="Times New Roman" w:hAnsi="Calibri" w:cs="Calibri"/>
          <w:color w:val="1B1A22"/>
          <w:sz w:val="21"/>
          <w:szCs w:val="21"/>
        </w:rPr>
        <w:t xml:space="preserve"> si la version est majeure.</w:t>
      </w:r>
    </w:p>
    <w:p w14:paraId="14E93B9F"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35CA3B9E">
          <v:rect id="_x0000_i1039" style="width:0;height:1.5pt" o:hralign="center" o:hrstd="t" o:hr="t" fillcolor="#a0a0a0" stroked="f"/>
        </w:pict>
      </w:r>
    </w:p>
    <w:p w14:paraId="52A0FA82" w14:textId="77777777" w:rsidR="007953BF" w:rsidRDefault="007953BF">
      <w:pPr>
        <w:pStyle w:val="Titre2"/>
        <w:rPr>
          <w:rFonts w:ascii="Calibri" w:eastAsia="Times New Roman" w:hAnsi="Calibri" w:cs="Calibri"/>
        </w:rPr>
      </w:pPr>
      <w:r>
        <w:rPr>
          <w:rFonts w:ascii="Calibri" w:eastAsia="Times New Roman" w:hAnsi="Calibri" w:cs="Calibri"/>
        </w:rPr>
        <w:t xml:space="preserve">14 — Tests de conformité </w:t>
      </w:r>
      <w:r>
        <w:rPr>
          <w:rStyle w:val="Accentuation"/>
          <w:rFonts w:ascii="Calibri" w:eastAsia="Times New Roman" w:hAnsi="Calibri" w:cs="Calibri"/>
        </w:rPr>
        <w:t>(réécrit pour FlaiX Expert)</w:t>
      </w:r>
    </w:p>
    <w:p w14:paraId="04B72C77" w14:textId="77777777" w:rsidR="007953BF" w:rsidRDefault="007953BF">
      <w:pPr>
        <w:pStyle w:val="NormalWeb"/>
        <w:rPr>
          <w:rFonts w:ascii="Calibri" w:hAnsi="Calibri" w:cs="Calibri"/>
          <w:color w:val="1B1A22"/>
          <w:sz w:val="21"/>
          <w:szCs w:val="21"/>
        </w:rPr>
      </w:pPr>
      <w:r>
        <w:rPr>
          <w:rFonts w:ascii="Calibri" w:hAnsi="Calibri" w:cs="Calibri"/>
          <w:color w:val="1B1A22"/>
          <w:sz w:val="21"/>
          <w:szCs w:val="21"/>
        </w:rPr>
        <w:t xml:space="preserve">Les tests sont </w:t>
      </w:r>
      <w:r>
        <w:rPr>
          <w:rStyle w:val="lev"/>
          <w:rFonts w:ascii="Calibri" w:hAnsi="Calibri" w:cs="Calibri"/>
          <w:color w:val="1B1A22"/>
          <w:sz w:val="21"/>
          <w:szCs w:val="21"/>
        </w:rPr>
        <w:t>automatiques</w:t>
      </w:r>
      <w:r>
        <w:rPr>
          <w:rFonts w:ascii="Calibri" w:hAnsi="Calibri" w:cs="Calibri"/>
          <w:color w:val="1B1A22"/>
          <w:sz w:val="21"/>
          <w:szCs w:val="21"/>
        </w:rPr>
        <w:t xml:space="preserve">, rejoués à chaque modification, contre une vraie base PostgreSQL. Les tests </w:t>
      </w:r>
      <w:r>
        <w:rPr>
          <w:rStyle w:val="lev"/>
          <w:rFonts w:ascii="Calibri" w:hAnsi="Calibri" w:cs="Calibri"/>
          <w:color w:val="1B1A22"/>
          <w:sz w:val="21"/>
          <w:szCs w:val="21"/>
        </w:rPr>
        <w:t>[F]</w:t>
      </w:r>
      <w:r>
        <w:rPr>
          <w:rFonts w:ascii="Calibri" w:hAnsi="Calibri" w:cs="Calibri"/>
          <w:color w:val="1B1A22"/>
          <w:sz w:val="21"/>
          <w:szCs w:val="21"/>
        </w:rPr>
        <w:t xml:space="preserve"> </w:t>
      </w:r>
      <w:r>
        <w:rPr>
          <w:rFonts w:ascii="Calibri" w:hAnsi="Calibri" w:cs="Calibri"/>
          <w:color w:val="1B1A22"/>
          <w:sz w:val="21"/>
          <w:szCs w:val="21"/>
        </w:rPr>
        <w:t>provoquent réellement la fraude et vérifient que la base la refuse ou la détecte.</w:t>
      </w:r>
    </w:p>
    <w:tbl>
      <w:tblPr>
        <w:tblW w:w="5000" w:type="pct"/>
        <w:tblCellMar>
          <w:top w:w="15" w:type="dxa"/>
          <w:left w:w="15" w:type="dxa"/>
          <w:bottom w:w="15" w:type="dxa"/>
          <w:right w:w="15" w:type="dxa"/>
        </w:tblCellMar>
        <w:tblLook w:val="04A0" w:firstRow="1" w:lastRow="0" w:firstColumn="1" w:lastColumn="0" w:noHBand="0" w:noVBand="1"/>
      </w:tblPr>
      <w:tblGrid>
        <w:gridCol w:w="1448"/>
        <w:gridCol w:w="3448"/>
        <w:gridCol w:w="2951"/>
        <w:gridCol w:w="1775"/>
      </w:tblGrid>
      <w:tr w:rsidR="00000000" w14:paraId="7A5EE573" w14:textId="77777777">
        <w:trPr>
          <w:tblHeader/>
        </w:trPr>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02317F8A"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Groupe</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3FF68E59"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Tests</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70BFD588"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Où</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0A6FB427"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État</w:t>
            </w:r>
          </w:p>
        </w:tc>
      </w:tr>
      <w:tr w:rsidR="00000000" w14:paraId="36ADD1A1"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5957034"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A — Inaltérabilité</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0FE4571"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A1, A2 (modification et suppression refusées), A3 à A5 (altération, suppression, inversion détectées), A6 (annulation), A8 (numéro unique), A9 (prix daté)</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5BAF5FC" w14:textId="77777777" w:rsidR="007953BF" w:rsidRDefault="007953BF">
            <w:pPr>
              <w:spacing w:before="80" w:after="200"/>
              <w:rPr>
                <w:rFonts w:ascii="Calibri" w:eastAsia="Times New Roman" w:hAnsi="Calibri" w:cs="Calibri"/>
                <w:color w:val="1B1A22"/>
                <w:sz w:val="19"/>
                <w:szCs w:val="19"/>
              </w:rPr>
            </w:pPr>
            <w:r>
              <w:rPr>
                <w:rStyle w:val="CodeHTML"/>
              </w:rPr>
              <w:t>conformite-base.test.ts</w:t>
            </w:r>
            <w:r>
              <w:rPr>
                <w:rFonts w:ascii="Calibri" w:eastAsia="Times New Roman" w:hAnsi="Calibri" w:cs="Calibri"/>
                <w:color w:val="1B1A22"/>
                <w:sz w:val="19"/>
                <w:szCs w:val="19"/>
              </w:rPr>
              <w:t xml:space="preserve">, </w:t>
            </w:r>
            <w:r>
              <w:rPr>
                <w:rStyle w:val="CodeHTML"/>
              </w:rPr>
              <w:t>caisse.test.ts</w:t>
            </w:r>
            <w:r>
              <w:rPr>
                <w:rFonts w:ascii="Calibri" w:eastAsia="Times New Roman" w:hAnsi="Calibri" w:cs="Calibri"/>
                <w:color w:val="1B1A22"/>
                <w:sz w:val="19"/>
                <w:szCs w:val="19"/>
              </w:rPr>
              <w:t xml:space="preserve">, </w:t>
            </w:r>
            <w:r>
              <w:rPr>
                <w:rStyle w:val="CodeHTML"/>
              </w:rPr>
              <w:t>api.test.ts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07BC127"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w:t>
            </w:r>
          </w:p>
        </w:tc>
      </w:tr>
      <w:tr w:rsidR="00000000" w14:paraId="3BA13795"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54FECDF"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B — Sécurisation</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63F099F"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B1 (connexions journalisées), B2 (accès refusés journalisés), B3 / B4 (formation), B6 / B7 (éditeur sans accès)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B60CDBC" w14:textId="77777777" w:rsidR="007953BF" w:rsidRDefault="007953BF">
            <w:pPr>
              <w:spacing w:before="80" w:after="200"/>
              <w:rPr>
                <w:rFonts w:ascii="Calibri" w:eastAsia="Times New Roman" w:hAnsi="Calibri" w:cs="Calibri"/>
                <w:color w:val="1B1A22"/>
                <w:sz w:val="19"/>
                <w:szCs w:val="19"/>
              </w:rPr>
            </w:pPr>
            <w:r>
              <w:rPr>
                <w:rStyle w:val="CodeHTML"/>
              </w:rPr>
              <w:t>api.test.ts</w:t>
            </w:r>
            <w:r>
              <w:rPr>
                <w:rFonts w:ascii="Calibri" w:eastAsia="Times New Roman" w:hAnsi="Calibri" w:cs="Calibri"/>
                <w:color w:val="1B1A22"/>
                <w:sz w:val="19"/>
                <w:szCs w:val="19"/>
              </w:rPr>
              <w:t xml:space="preserve">, </w:t>
            </w:r>
            <w:r>
              <w:rPr>
                <w:rStyle w:val="CodeHTML"/>
              </w:rPr>
              <w:t>caissieres.test.ts</w:t>
            </w:r>
            <w:r>
              <w:rPr>
                <w:rFonts w:ascii="Calibri" w:eastAsia="Times New Roman" w:hAnsi="Calibri" w:cs="Calibri"/>
                <w:color w:val="1B1A22"/>
                <w:sz w:val="19"/>
                <w:szCs w:val="19"/>
              </w:rPr>
              <w:t xml:space="preserve">, </w:t>
            </w:r>
            <w:r>
              <w:rPr>
                <w:rStyle w:val="CodeHTML"/>
              </w:rPr>
              <w:t>formation.test.ts</w:t>
            </w:r>
            <w:r>
              <w:rPr>
                <w:rFonts w:ascii="Calibri" w:eastAsia="Times New Roman" w:hAnsi="Calibri" w:cs="Calibri"/>
                <w:color w:val="1B1A22"/>
                <w:sz w:val="19"/>
                <w:szCs w:val="19"/>
              </w:rPr>
              <w:t xml:space="preserve">, </w:t>
            </w:r>
            <w:r>
              <w:rPr>
                <w:rStyle w:val="CodeHTML"/>
              </w:rPr>
              <w:t>editeur.test.ts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BC18F3F"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 ; B5 (vérificateur) à construire</w:t>
            </w:r>
          </w:p>
        </w:tc>
      </w:tr>
      <w:tr w:rsidR="00000000" w14:paraId="78A143DF"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2DE24D9"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 — Conservation et totaux</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F386AE2"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C1 (Z du match), C2 à C6 (mois, exercice, grand total, perpétuel chaîné, pas de remise à zéro)</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02690F9C" w14:textId="77777777" w:rsidR="007953BF" w:rsidRDefault="007953BF">
            <w:pPr>
              <w:spacing w:before="80" w:after="200"/>
              <w:rPr>
                <w:rFonts w:ascii="Calibri" w:eastAsia="Times New Roman" w:hAnsi="Calibri" w:cs="Calibri"/>
                <w:color w:val="1B1A22"/>
                <w:sz w:val="19"/>
                <w:szCs w:val="19"/>
              </w:rPr>
            </w:pPr>
            <w:r>
              <w:rPr>
                <w:rStyle w:val="CodeHTML"/>
              </w:rPr>
              <w:t>clotures.test.ts</w:t>
            </w:r>
            <w:r>
              <w:rPr>
                <w:rFonts w:ascii="Calibri" w:eastAsia="Times New Roman" w:hAnsi="Calibri" w:cs="Calibri"/>
                <w:color w:val="1B1A22"/>
                <w:sz w:val="19"/>
                <w:szCs w:val="19"/>
              </w:rPr>
              <w:t xml:space="preserve">, </w:t>
            </w:r>
            <w:r>
              <w:rPr>
                <w:rStyle w:val="CodeHTML"/>
              </w:rPr>
              <w:t>periodes.test.ts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3888D4B"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w:t>
            </w:r>
          </w:p>
        </w:tc>
      </w:tr>
      <w:tr w:rsidR="00000000" w14:paraId="66D58E4F"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DB5B9BF"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D — Archivage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FA3B86B"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D1 à D6</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6E6A727"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9A76B8B"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À CONSTRUIRE avec la partie 09</w:t>
            </w:r>
          </w:p>
        </w:tc>
      </w:tr>
      <w:tr w:rsidR="00000000" w14:paraId="78833B46"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9C14C3C"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E — Paiements intégrés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79663F9"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E1 à E10 (§15.19)</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F8640EA"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C753BC8"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Le jour où la carte passe par le logiciel (partie 27)</w:t>
            </w:r>
          </w:p>
        </w:tc>
      </w:tr>
      <w:tr w:rsidR="00000000" w14:paraId="20753A4A"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D85E18B"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F — Sans réseau</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42A67BC"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F1 à F4 (ventes hors ligne chaînées, reprise sans trou, deux caisses en même temps, clôture)</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9DA9A20" w14:textId="77777777" w:rsidR="007953BF" w:rsidRDefault="007953BF">
            <w:pPr>
              <w:spacing w:before="80" w:after="200"/>
              <w:rPr>
                <w:rFonts w:ascii="Calibri" w:eastAsia="Times New Roman" w:hAnsi="Calibri" w:cs="Calibri"/>
                <w:color w:val="1B1A22"/>
                <w:sz w:val="19"/>
                <w:szCs w:val="19"/>
              </w:rPr>
            </w:pPr>
            <w:r>
              <w:rPr>
                <w:rStyle w:val="CodeHTML"/>
              </w:rPr>
              <w:t>caisse.test.ts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25776CB"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w:t>
            </w:r>
          </w:p>
        </w:tc>
      </w:tr>
      <w:tr w:rsidR="00000000" w14:paraId="742EEE42"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C49FC21"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G — Ticket</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4D5A5042"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Ticket édité sur demande, duplicata</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1CC5DEC0" w14:textId="77777777" w:rsidR="007953BF" w:rsidRDefault="007953BF">
            <w:pPr>
              <w:spacing w:before="80" w:after="200"/>
              <w:rPr>
                <w:rFonts w:ascii="Calibri" w:eastAsia="Times New Roman" w:hAnsi="Calibri" w:cs="Calibri"/>
                <w:color w:val="1B1A22"/>
                <w:sz w:val="19"/>
                <w:szCs w:val="19"/>
              </w:rPr>
            </w:pPr>
            <w:r>
              <w:rPr>
                <w:rStyle w:val="CodeHTML"/>
              </w:rPr>
              <w:t>caisse.test.ts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6DFF3F5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CONSTRUIT (sur demande)</w:t>
            </w:r>
          </w:p>
        </w:tc>
      </w:tr>
    </w:tbl>
    <w:p w14:paraId="47775695"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À faire</w:t>
      </w:r>
      <w:r>
        <w:rPr>
          <w:rFonts w:ascii="Calibri" w:hAnsi="Calibri" w:cs="Calibri"/>
          <w:color w:val="1B1A22"/>
          <w:sz w:val="21"/>
          <w:szCs w:val="21"/>
        </w:rPr>
        <w:t xml:space="preserve"> : conserver les sorties datées de chaque exécution, rattachées au numéro de version (pièce à joindre au registre).</w:t>
      </w:r>
    </w:p>
    <w:p w14:paraId="48416EAA"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2A5DDE69">
          <v:rect id="_x0000_i1040" style="width:0;height:1.5pt" o:hralign="center" o:hrstd="t" o:hr="t" fillcolor="#a0a0a0" stroked="f"/>
        </w:pict>
      </w:r>
    </w:p>
    <w:p w14:paraId="113F561D" w14:textId="77777777" w:rsidR="007953BF" w:rsidRDefault="007953BF">
      <w:pPr>
        <w:pStyle w:val="Titre2"/>
        <w:rPr>
          <w:rFonts w:ascii="Calibri" w:eastAsia="Times New Roman" w:hAnsi="Calibri" w:cs="Calibri"/>
        </w:rPr>
      </w:pPr>
      <w:r>
        <w:rPr>
          <w:rFonts w:ascii="Calibri" w:eastAsia="Times New Roman" w:hAnsi="Calibri" w:cs="Calibri"/>
        </w:rPr>
        <w:t>15 — Procédure de contrôle d'intégrité</w:t>
      </w:r>
    </w:p>
    <w:p w14:paraId="45D74EA8"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Construit.</w:t>
      </w:r>
    </w:p>
    <w:p w14:paraId="6FF15EBE" w14:textId="77777777" w:rsidR="007953BF" w:rsidRDefault="007953BF">
      <w:pPr>
        <w:numPr>
          <w:ilvl w:val="0"/>
          <w:numId w:val="1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Vérification à la demande</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par le directeur : relecture complète des chaînes de chaque caisse, du journal technique et des clôtures ; une rupture est localisée à l'opération exacte.</w:t>
      </w:r>
    </w:p>
    <w:p w14:paraId="19CC8574" w14:textId="77777777" w:rsidR="007953BF" w:rsidRDefault="007953BF">
      <w:pPr>
        <w:numPr>
          <w:ilvl w:val="0"/>
          <w:numId w:val="1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Vérification par FlaiX Expert</w:t>
      </w:r>
      <w:r>
        <w:rPr>
          <w:rFonts w:ascii="Calibri" w:eastAsia="Times New Roman" w:hAnsi="Calibri" w:cs="Calibri"/>
          <w:color w:val="1B1A22"/>
          <w:sz w:val="21"/>
          <w:szCs w:val="21"/>
        </w:rPr>
        <w:t xml:space="preserve"> depuis le back-office (sans voir aucun montant), </w:t>
      </w:r>
      <w:r>
        <w:rPr>
          <w:rStyle w:val="lev"/>
          <w:rFonts w:ascii="Calibri" w:eastAsia="Times New Roman" w:hAnsi="Calibri" w:cs="Calibri"/>
          <w:color w:val="1B1A22"/>
          <w:sz w:val="21"/>
          <w:szCs w:val="21"/>
        </w:rPr>
        <w:t>inscrite au journal du lieu</w:t>
      </w:r>
      <w:r>
        <w:rPr>
          <w:rFonts w:ascii="Calibri" w:eastAsia="Times New Roman" w:hAnsi="Calibri" w:cs="Calibri"/>
          <w:color w:val="1B1A22"/>
          <w:sz w:val="21"/>
          <w:szCs w:val="21"/>
        </w:rPr>
        <w:t>, qui la voit.</w:t>
      </w:r>
    </w:p>
    <w:p w14:paraId="5628724E" w14:textId="77777777" w:rsidR="007953BF" w:rsidRDefault="007953BF">
      <w:pPr>
        <w:numPr>
          <w:ilvl w:val="0"/>
          <w:numId w:val="15"/>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Le back-office signale un lieu dont la dernière vérification a trouvé une rupture.</w:t>
      </w:r>
    </w:p>
    <w:p w14:paraId="68B5F8E5"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À écrire</w:t>
      </w:r>
      <w:r>
        <w:rPr>
          <w:rFonts w:ascii="Calibri" w:hAnsi="Calibri" w:cs="Calibri"/>
          <w:color w:val="1B1A22"/>
          <w:sz w:val="21"/>
          <w:szCs w:val="21"/>
        </w:rPr>
        <w:t xml:space="preserve"> : la procédure en cas d'anomalie (qui prévenir, quelles traces conserver, comment l'expliquer au lieu et, le cas échéant, à l'administration).</w:t>
      </w:r>
    </w:p>
    <w:p w14:paraId="281A4BE0"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6E2A3CF5">
          <v:rect id="_x0000_i1041" style="width:0;height:1.5pt" o:hralign="center" o:hrstd="t" o:hr="t" fillcolor="#a0a0a0" stroked="f"/>
        </w:pict>
      </w:r>
    </w:p>
    <w:p w14:paraId="13DD8C52" w14:textId="77777777" w:rsidR="007953BF" w:rsidRDefault="007953BF">
      <w:pPr>
        <w:pStyle w:val="Titre2"/>
        <w:rPr>
          <w:rFonts w:ascii="Calibri" w:eastAsia="Times New Roman" w:hAnsi="Calibri" w:cs="Calibri"/>
        </w:rPr>
      </w:pPr>
      <w:r>
        <w:rPr>
          <w:rFonts w:ascii="Calibri" w:eastAsia="Times New Roman" w:hAnsi="Calibri" w:cs="Calibri"/>
        </w:rPr>
        <w:t>16 — Procédure de sauvegarde</w:t>
      </w:r>
    </w:p>
    <w:p w14:paraId="355CE541"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Construit.</w:t>
      </w:r>
    </w:p>
    <w:p w14:paraId="47D3C2AF" w14:textId="77777777" w:rsidR="007953BF" w:rsidRDefault="007953BF">
      <w:pPr>
        <w:numPr>
          <w:ilvl w:val="0"/>
          <w:numId w:val="16"/>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Sauvegarde quotidienne de la base sur le serveur : 14 jours, et la sauvegarde du 1er de chaque mois gardée sans limite.</w:t>
      </w:r>
    </w:p>
    <w:p w14:paraId="21E085C6" w14:textId="77777777" w:rsidR="007953BF" w:rsidRDefault="007953BF">
      <w:pPr>
        <w:numPr>
          <w:ilvl w:val="0"/>
          <w:numId w:val="16"/>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Sauvegarde automatique </w:t>
      </w:r>
      <w:r>
        <w:rPr>
          <w:rStyle w:val="lev"/>
          <w:rFonts w:ascii="Calibri" w:eastAsia="Times New Roman" w:hAnsi="Calibri" w:cs="Calibri"/>
          <w:color w:val="1B1A22"/>
          <w:sz w:val="21"/>
          <w:szCs w:val="21"/>
        </w:rPr>
        <w:t>juste avant chaque mise en ligne</w:t>
      </w:r>
      <w:r>
        <w:rPr>
          <w:rFonts w:ascii="Calibri" w:eastAsia="Times New Roman" w:hAnsi="Calibri" w:cs="Calibri"/>
          <w:color w:val="1B1A22"/>
          <w:sz w:val="21"/>
          <w:szCs w:val="21"/>
        </w:rPr>
        <w:t>.</w:t>
      </w:r>
    </w:p>
    <w:p w14:paraId="3D78BA5F" w14:textId="77777777" w:rsidR="007953BF" w:rsidRDefault="007953BF">
      <w:pPr>
        <w:numPr>
          <w:ilvl w:val="0"/>
          <w:numId w:val="16"/>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Copie </w:t>
      </w:r>
      <w:r>
        <w:rPr>
          <w:rStyle w:val="lev"/>
          <w:rFonts w:ascii="Calibri" w:eastAsia="Times New Roman" w:hAnsi="Calibri" w:cs="Calibri"/>
          <w:color w:val="1B1A22"/>
          <w:sz w:val="21"/>
          <w:szCs w:val="21"/>
        </w:rPr>
        <w:t>chiffrée</w:t>
      </w:r>
      <w:r>
        <w:rPr>
          <w:rFonts w:ascii="Calibri" w:eastAsia="Times New Roman" w:hAnsi="Calibri" w:cs="Calibri"/>
          <w:color w:val="1B1A22"/>
          <w:sz w:val="21"/>
          <w:szCs w:val="21"/>
        </w:rPr>
        <w:t xml:space="preserve"> hors du serveur vers un stockage OVHcloud en France : chiffrement avec une clé publique, </w:t>
      </w:r>
      <w:r>
        <w:rPr>
          <w:rStyle w:val="lev"/>
          <w:rFonts w:ascii="Calibri" w:eastAsia="Times New Roman" w:hAnsi="Calibri" w:cs="Calibri"/>
          <w:color w:val="1B1A22"/>
          <w:sz w:val="21"/>
          <w:szCs w:val="21"/>
        </w:rPr>
        <w:t>clé de restauration jamais stockée sur le serveur</w:t>
      </w:r>
      <w:r>
        <w:rPr>
          <w:rFonts w:ascii="Calibri" w:eastAsia="Times New Roman" w:hAnsi="Calibri" w:cs="Calibri"/>
          <w:color w:val="1B1A22"/>
          <w:sz w:val="21"/>
          <w:szCs w:val="21"/>
        </w:rPr>
        <w:t xml:space="preserve"> ; commande d'</w:t>
      </w:r>
      <w:r>
        <w:rPr>
          <w:rStyle w:val="lev"/>
          <w:rFonts w:ascii="Calibri" w:eastAsia="Times New Roman" w:hAnsi="Calibri" w:cs="Calibri"/>
          <w:color w:val="1B1A22"/>
          <w:sz w:val="21"/>
          <w:szCs w:val="21"/>
        </w:rPr>
        <w:t>essai de restauration</w:t>
      </w:r>
      <w:r>
        <w:rPr>
          <w:rFonts w:ascii="Calibri" w:eastAsia="Times New Roman" w:hAnsi="Calibri" w:cs="Calibri"/>
          <w:color w:val="1B1A22"/>
          <w:sz w:val="21"/>
          <w:szCs w:val="21"/>
        </w:rPr>
        <w:t xml:space="preserve"> qui compare la copie à la base en service.</w:t>
      </w:r>
    </w:p>
    <w:p w14:paraId="5B92A640"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À faire (Rémi)</w:t>
      </w:r>
      <w:r>
        <w:rPr>
          <w:rFonts w:ascii="Calibri" w:hAnsi="Calibri" w:cs="Calibri"/>
          <w:color w:val="1B1A22"/>
          <w:sz w:val="21"/>
          <w:szCs w:val="21"/>
        </w:rPr>
        <w:t xml:space="preserve"> </w:t>
      </w:r>
      <w:r>
        <w:rPr>
          <w:rFonts w:ascii="Calibri" w:hAnsi="Calibri" w:cs="Calibri"/>
          <w:color w:val="1B1A22"/>
          <w:sz w:val="21"/>
          <w:szCs w:val="21"/>
        </w:rPr>
        <w:t xml:space="preserve">: créer le stockage OVH, régler la copie, réussir un essai de restauration. </w:t>
      </w:r>
      <w:r>
        <w:rPr>
          <w:rStyle w:val="lev"/>
          <w:rFonts w:ascii="Calibri" w:hAnsi="Calibri" w:cs="Calibri"/>
          <w:color w:val="1B1A22"/>
          <w:sz w:val="21"/>
          <w:szCs w:val="21"/>
        </w:rPr>
        <w:t>Tant que ce n'est pas fait, il n'existe aucune copie hors du serveur.</w:t>
      </w:r>
    </w:p>
    <w:p w14:paraId="2400D9FE"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Rappel</w:t>
      </w:r>
      <w:r>
        <w:rPr>
          <w:rFonts w:ascii="Calibri" w:hAnsi="Calibri" w:cs="Calibri"/>
          <w:color w:val="1B1A22"/>
          <w:sz w:val="21"/>
          <w:szCs w:val="21"/>
        </w:rPr>
        <w:t xml:space="preserve"> : la sauvegarde ne remplace pas l'archive (partie 09).</w:t>
      </w:r>
    </w:p>
    <w:p w14:paraId="4FB79899"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65716289">
          <v:rect id="_x0000_i1042" style="width:0;height:1.5pt" o:hralign="center" o:hrstd="t" o:hr="t" fillcolor="#a0a0a0" stroked="f"/>
        </w:pict>
      </w:r>
    </w:p>
    <w:p w14:paraId="51660FAE" w14:textId="77777777" w:rsidR="007953BF" w:rsidRDefault="007953BF">
      <w:pPr>
        <w:pStyle w:val="Titre2"/>
        <w:rPr>
          <w:rFonts w:ascii="Calibri" w:eastAsia="Times New Roman" w:hAnsi="Calibri" w:cs="Calibri"/>
        </w:rPr>
      </w:pPr>
      <w:r>
        <w:rPr>
          <w:rFonts w:ascii="Calibri" w:eastAsia="Times New Roman" w:hAnsi="Calibri" w:cs="Calibri"/>
        </w:rPr>
        <w:t>17 — Avis juridique</w:t>
      </w:r>
    </w:p>
    <w:p w14:paraId="537467D7"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À FOURNIR, sur décision de Rémi.</w:t>
      </w:r>
      <w:r>
        <w:rPr>
          <w:rFonts w:ascii="Calibri" w:hAnsi="Calibri" w:cs="Calibri"/>
          <w:color w:val="1B1A22"/>
          <w:sz w:val="21"/>
          <w:szCs w:val="21"/>
        </w:rPr>
        <w:t xml:space="preserve"> Un avocat fiscaliste ou en droit du numérique examinerait notamment :</w:t>
      </w:r>
    </w:p>
    <w:p w14:paraId="33C096F2" w14:textId="77777777" w:rsidR="007953BF" w:rsidRDefault="007953BF">
      <w:pPr>
        <w:numPr>
          <w:ilvl w:val="0"/>
          <w:numId w:val="17"/>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la qualification de FlaiX Expert au regard de l'article 286, I-3° bis du CGI ;</w:t>
      </w:r>
    </w:p>
    <w:p w14:paraId="7E6B94B5" w14:textId="77777777" w:rsidR="007953BF" w:rsidRDefault="007953BF">
      <w:pPr>
        <w:numPr>
          <w:ilvl w:val="0"/>
          <w:numId w:val="17"/>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l'attestation de l'éditeur et l'engagement des versions mineures ;</w:t>
      </w:r>
    </w:p>
    <w:p w14:paraId="0034D8F2" w14:textId="77777777" w:rsidR="007953BF" w:rsidRDefault="007953BF">
      <w:pPr>
        <w:numPr>
          <w:ilvl w:val="0"/>
          <w:numId w:val="17"/>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la responsabilité de l'éditeur : art. 1770 undecies du CGI (15 % du chiffre d'affaires tiré du logiciel et solidarité) et art. 441-1 du code pénal (fausse attestation) ;</w:t>
      </w:r>
    </w:p>
    <w:p w14:paraId="067372B1" w14:textId="77777777" w:rsidR="007953BF" w:rsidRDefault="007953BF">
      <w:pPr>
        <w:numPr>
          <w:ilvl w:val="0"/>
          <w:numId w:val="17"/>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le futur paiement intégré (partie 27) ;</w:t>
      </w:r>
    </w:p>
    <w:p w14:paraId="16039B50" w14:textId="77777777" w:rsidR="007953BF" w:rsidRDefault="007953BF">
      <w:pPr>
        <w:numPr>
          <w:ilvl w:val="0"/>
          <w:numId w:val="17"/>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les contrats avec les lieux : conditions d'abonnement, sous-traitance RGPD.</w:t>
      </w:r>
    </w:p>
    <w:p w14:paraId="236A17F4" w14:textId="77777777" w:rsidR="007953BF" w:rsidRDefault="007953BF">
      <w:pPr>
        <w:pStyle w:val="NormalWeb"/>
        <w:rPr>
          <w:rFonts w:ascii="Calibri" w:hAnsi="Calibri" w:cs="Calibri"/>
          <w:color w:val="1B1A22"/>
          <w:sz w:val="21"/>
          <w:szCs w:val="21"/>
        </w:rPr>
      </w:pPr>
      <w:r>
        <w:rPr>
          <w:rFonts w:ascii="Calibri" w:hAnsi="Calibri" w:cs="Calibri"/>
          <w:color w:val="1B1A22"/>
          <w:sz w:val="21"/>
          <w:szCs w:val="21"/>
        </w:rPr>
        <w:t xml:space="preserve">Cet avis sécurise, il </w:t>
      </w:r>
      <w:r>
        <w:rPr>
          <w:rStyle w:val="lev"/>
          <w:rFonts w:ascii="Calibri" w:hAnsi="Calibri" w:cs="Calibri"/>
          <w:color w:val="1B1A22"/>
          <w:sz w:val="21"/>
          <w:szCs w:val="21"/>
        </w:rPr>
        <w:t>ne remplace pas</w:t>
      </w:r>
      <w:r>
        <w:rPr>
          <w:rFonts w:ascii="Calibri" w:hAnsi="Calibri" w:cs="Calibri"/>
          <w:color w:val="1B1A22"/>
          <w:sz w:val="21"/>
          <w:szCs w:val="21"/>
        </w:rPr>
        <w:t xml:space="preserve"> l'attestation.</w:t>
      </w:r>
    </w:p>
    <w:p w14:paraId="3825AEAA"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49DE1263">
          <v:rect id="_x0000_i1043" style="width:0;height:1.5pt" o:hralign="center" o:hrstd="t" o:hr="t" fillcolor="#a0a0a0" stroked="f"/>
        </w:pict>
      </w:r>
    </w:p>
    <w:p w14:paraId="18AA88BD" w14:textId="77777777" w:rsidR="007953BF" w:rsidRDefault="007953BF">
      <w:pPr>
        <w:pStyle w:val="Titre2"/>
        <w:rPr>
          <w:rFonts w:ascii="Calibri" w:eastAsia="Times New Roman" w:hAnsi="Calibri" w:cs="Calibri"/>
        </w:rPr>
      </w:pPr>
      <w:r>
        <w:rPr>
          <w:rFonts w:ascii="Calibri" w:eastAsia="Times New Roman" w:hAnsi="Calibri" w:cs="Calibri"/>
        </w:rPr>
        <w:t xml:space="preserve">18 — Validation comptable </w:t>
      </w:r>
      <w:r>
        <w:rPr>
          <w:rStyle w:val="Accentuation"/>
          <w:rFonts w:ascii="Calibri" w:eastAsia="Times New Roman" w:hAnsi="Calibri" w:cs="Calibri"/>
        </w:rPr>
        <w:t>(réécrit pour FlaiX Expert)</w:t>
      </w:r>
    </w:p>
    <w:p w14:paraId="614C75B4"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À FOURNIR</w:t>
      </w:r>
      <w:r>
        <w:rPr>
          <w:rFonts w:ascii="Calibri" w:hAnsi="Calibri" w:cs="Calibri"/>
          <w:color w:val="1B1A22"/>
          <w:sz w:val="21"/>
          <w:szCs w:val="21"/>
        </w:rPr>
        <w:t xml:space="preserve"> : les réponses écrites de l'expert-comptable aux questions de </w:t>
      </w:r>
      <w:r>
        <w:rPr>
          <w:rStyle w:val="CodeHTML"/>
        </w:rPr>
        <w:t>docs/questions-expert-comptable.md</w:t>
      </w:r>
      <w:r>
        <w:rPr>
          <w:rFonts w:ascii="Calibri" w:hAnsi="Calibri" w:cs="Calibri"/>
          <w:color w:val="1B1A22"/>
          <w:sz w:val="21"/>
          <w:szCs w:val="21"/>
        </w:rPr>
        <w:t xml:space="preserve"> :</w:t>
      </w:r>
    </w:p>
    <w:p w14:paraId="4D4C5953" w14:textId="77777777" w:rsidR="007953BF" w:rsidRDefault="007953BF">
      <w:pPr>
        <w:numPr>
          <w:ilvl w:val="0"/>
          <w:numId w:val="1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A</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champ de l'obligation, cas d'un lieu tout par carte, attestation de l'éditeur ;</w:t>
      </w:r>
    </w:p>
    <w:p w14:paraId="050BA451" w14:textId="77777777" w:rsidR="007953BF" w:rsidRDefault="007953BF">
      <w:pPr>
        <w:numPr>
          <w:ilvl w:val="0"/>
          <w:numId w:val="1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B</w:t>
      </w:r>
      <w:r>
        <w:rPr>
          <w:rFonts w:ascii="Calibri" w:eastAsia="Times New Roman" w:hAnsi="Calibri" w:cs="Calibri"/>
          <w:color w:val="1B1A22"/>
          <w:sz w:val="21"/>
          <w:szCs w:val="21"/>
        </w:rPr>
        <w:t xml:space="preserve"> : TVA en buvette de stade ;</w:t>
      </w:r>
    </w:p>
    <w:p w14:paraId="2AAB5EC4" w14:textId="77777777" w:rsidR="007953BF" w:rsidRDefault="007953BF">
      <w:pPr>
        <w:numPr>
          <w:ilvl w:val="0"/>
          <w:numId w:val="1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C</w:t>
      </w:r>
      <w:r>
        <w:rPr>
          <w:rFonts w:ascii="Calibri" w:eastAsia="Times New Roman" w:hAnsi="Calibri" w:cs="Calibri"/>
          <w:color w:val="1B1A22"/>
          <w:sz w:val="21"/>
          <w:szCs w:val="21"/>
        </w:rPr>
        <w:t xml:space="preserve"> : remises, offerts, commission ;</w:t>
      </w:r>
    </w:p>
    <w:p w14:paraId="0B5F468B" w14:textId="77777777" w:rsidR="007953BF" w:rsidRDefault="007953BF">
      <w:pPr>
        <w:numPr>
          <w:ilvl w:val="0"/>
          <w:numId w:val="1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D</w:t>
      </w:r>
      <w:r>
        <w:rPr>
          <w:rFonts w:ascii="Calibri" w:eastAsia="Times New Roman" w:hAnsi="Calibri" w:cs="Calibri"/>
          <w:color w:val="1B1A22"/>
          <w:sz w:val="21"/>
          <w:szCs w:val="21"/>
        </w:rPr>
        <w:t xml:space="preserve"> : conservation et contrôle ;</w:t>
      </w:r>
    </w:p>
    <w:p w14:paraId="612204F5" w14:textId="77777777" w:rsidR="007953BF" w:rsidRDefault="007953BF">
      <w:pPr>
        <w:numPr>
          <w:ilvl w:val="0"/>
          <w:numId w:val="1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G.18</w:t>
      </w:r>
      <w:r>
        <w:rPr>
          <w:rFonts w:ascii="Calibri" w:eastAsia="Times New Roman" w:hAnsi="Calibri" w:cs="Calibri"/>
          <w:color w:val="1B1A22"/>
          <w:sz w:val="21"/>
          <w:szCs w:val="21"/>
        </w:rPr>
        <w:t xml:space="preserve"> : ticket obligatoire en buvette ;</w:t>
      </w:r>
    </w:p>
    <w:p w14:paraId="71250943" w14:textId="77777777" w:rsidR="007953BF" w:rsidRDefault="007953BF">
      <w:pPr>
        <w:numPr>
          <w:ilvl w:val="0"/>
          <w:numId w:val="1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G.19</w:t>
      </w:r>
      <w:r>
        <w:rPr>
          <w:rFonts w:ascii="Calibri" w:eastAsia="Times New Roman" w:hAnsi="Calibri" w:cs="Calibri"/>
          <w:color w:val="1B1A22"/>
          <w:sz w:val="21"/>
          <w:szCs w:val="21"/>
        </w:rPr>
        <w:t xml:space="preserve"> : conservation sans limite et RGPD ;</w:t>
      </w:r>
    </w:p>
    <w:p w14:paraId="34E13C83" w14:textId="77777777" w:rsidR="007953BF" w:rsidRDefault="007953BF">
      <w:pPr>
        <w:numPr>
          <w:ilvl w:val="0"/>
          <w:numId w:val="1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G.20</w:t>
      </w:r>
      <w:r>
        <w:rPr>
          <w:rFonts w:ascii="Calibri" w:eastAsia="Times New Roman" w:hAnsi="Calibri" w:cs="Calibri"/>
          <w:color w:val="1B1A22"/>
          <w:sz w:val="21"/>
          <w:szCs w:val="21"/>
        </w:rPr>
        <w:t xml:space="preserve"> : format de l'export, comptes ;</w:t>
      </w:r>
    </w:p>
    <w:p w14:paraId="3FDB3A18" w14:textId="77777777" w:rsidR="007953BF" w:rsidRDefault="007953BF">
      <w:pPr>
        <w:numPr>
          <w:ilvl w:val="0"/>
          <w:numId w:val="18"/>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G.21</w:t>
      </w:r>
      <w:r>
        <w:rPr>
          <w:rFonts w:ascii="Calibri" w:eastAsia="Times New Roman" w:hAnsi="Calibri" w:cs="Calibri"/>
          <w:color w:val="1B1A22"/>
          <w:sz w:val="21"/>
          <w:szCs w:val="21"/>
        </w:rPr>
        <w:t xml:space="preserve"> : données des abonnés.</w:t>
      </w:r>
    </w:p>
    <w:p w14:paraId="58506FA7"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À vérifier par lui sur les vrais chiffres d'un premier match</w:t>
      </w:r>
      <w:r>
        <w:rPr>
          <w:rFonts w:ascii="Calibri" w:hAnsi="Calibri" w:cs="Calibri"/>
          <w:color w:val="1B1A22"/>
          <w:sz w:val="21"/>
          <w:szCs w:val="21"/>
        </w:rPr>
        <w:t xml:space="preserve"> :</w:t>
      </w:r>
    </w:p>
    <w:p w14:paraId="20D837B5" w14:textId="77777777" w:rsidR="007953BF" w:rsidRDefault="007953BF">
      <w:pPr>
        <w:numPr>
          <w:ilvl w:val="0"/>
          <w:numId w:val="19"/>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la concordance entre la somme des tickets, le Z du match et la clôture du mois ;</w:t>
      </w:r>
    </w:p>
    <w:p w14:paraId="21DDCCA9" w14:textId="77777777" w:rsidR="007953BF" w:rsidRDefault="007953BF">
      <w:pPr>
        <w:numPr>
          <w:ilvl w:val="0"/>
          <w:numId w:val="19"/>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le rapprochement des paiements carte déclarés avec les remises bancaires du TPE du lieu (contrôle manuel aujourd'hui, partie 28) ;</w:t>
      </w:r>
    </w:p>
    <w:p w14:paraId="550121D2" w14:textId="77777777" w:rsidR="007953BF" w:rsidRDefault="007953BF">
      <w:pPr>
        <w:numPr>
          <w:ilvl w:val="0"/>
          <w:numId w:val="19"/>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le traitement des écarts de caisse et des offerts.</w:t>
      </w:r>
    </w:p>
    <w:p w14:paraId="277B587F"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67743A07">
          <v:rect id="_x0000_i1044" style="width:0;height:1.5pt" o:hralign="center" o:hrstd="t" o:hr="t" fillcolor="#a0a0a0" stroked="f"/>
        </w:pict>
      </w:r>
    </w:p>
    <w:p w14:paraId="41FEC67F" w14:textId="77777777" w:rsidR="007953BF" w:rsidRDefault="007953BF">
      <w:pPr>
        <w:pStyle w:val="Titre2"/>
        <w:rPr>
          <w:rFonts w:ascii="Calibri" w:eastAsia="Times New Roman" w:hAnsi="Calibri" w:cs="Calibri"/>
        </w:rPr>
      </w:pPr>
      <w:r>
        <w:rPr>
          <w:rFonts w:ascii="Calibri" w:eastAsia="Times New Roman" w:hAnsi="Calibri" w:cs="Calibri"/>
        </w:rPr>
        <w:t>19 — Historique du dossier</w:t>
      </w:r>
    </w:p>
    <w:tbl>
      <w:tblPr>
        <w:tblW w:w="5000" w:type="pct"/>
        <w:tblCellMar>
          <w:top w:w="15" w:type="dxa"/>
          <w:left w:w="15" w:type="dxa"/>
          <w:bottom w:w="15" w:type="dxa"/>
          <w:right w:w="15" w:type="dxa"/>
        </w:tblCellMar>
        <w:tblLook w:val="04A0" w:firstRow="1" w:lastRow="0" w:firstColumn="1" w:lastColumn="0" w:noHBand="0" w:noVBand="1"/>
      </w:tblPr>
      <w:tblGrid>
        <w:gridCol w:w="803"/>
        <w:gridCol w:w="860"/>
        <w:gridCol w:w="1213"/>
        <w:gridCol w:w="5597"/>
        <w:gridCol w:w="1149"/>
      </w:tblGrid>
      <w:tr w:rsidR="00000000" w14:paraId="24A049A7" w14:textId="77777777">
        <w:trPr>
          <w:tblHeader/>
        </w:trPr>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6611BF1D"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Version</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51DDB897"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Date</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41FF58C4"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Version du logiciel</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7BFD1DDB"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Modifications</w:t>
            </w:r>
          </w:p>
        </w:tc>
        <w:tc>
          <w:tcPr>
            <w:tcW w:w="0" w:type="auto"/>
            <w:tcBorders>
              <w:top w:val="single" w:sz="6" w:space="0" w:color="C9C1EE"/>
              <w:left w:val="single" w:sz="6" w:space="0" w:color="C9C1EE"/>
              <w:bottom w:val="single" w:sz="6" w:space="0" w:color="C9C1EE"/>
              <w:right w:val="single" w:sz="6" w:space="0" w:color="C9C1EE"/>
            </w:tcBorders>
            <w:shd w:val="clear" w:color="auto" w:fill="EFEAFE"/>
            <w:tcMar>
              <w:top w:w="60" w:type="dxa"/>
              <w:left w:w="100" w:type="dxa"/>
              <w:bottom w:w="60" w:type="dxa"/>
              <w:right w:w="100" w:type="dxa"/>
            </w:tcMar>
            <w:vAlign w:val="center"/>
            <w:hideMark/>
          </w:tcPr>
          <w:p w14:paraId="386F65C7" w14:textId="77777777" w:rsidR="007953BF" w:rsidRDefault="007953BF">
            <w:pPr>
              <w:spacing w:before="80" w:after="200"/>
              <w:rPr>
                <w:rFonts w:ascii="Calibri" w:eastAsia="Times New Roman" w:hAnsi="Calibri" w:cs="Calibri"/>
                <w:b/>
                <w:bCs/>
                <w:color w:val="2B2540"/>
                <w:sz w:val="19"/>
                <w:szCs w:val="19"/>
              </w:rPr>
            </w:pPr>
            <w:r>
              <w:rPr>
                <w:rFonts w:ascii="Calibri" w:eastAsia="Times New Roman" w:hAnsi="Calibri" w:cs="Calibri"/>
                <w:b/>
                <w:bCs/>
                <w:color w:val="2B2540"/>
                <w:sz w:val="19"/>
                <w:szCs w:val="19"/>
              </w:rPr>
              <w:t>Validé par</w:t>
            </w:r>
          </w:p>
        </w:tc>
      </w:tr>
      <w:tr w:rsidR="00000000" w14:paraId="04BE9869" w14:textId="77777777">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43654A6"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0.1</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235A3B00"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2026-10-03</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5796288B"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test (avant 1.0.0)</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369E4985"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Première rédaction sur le plan de Rémi : parties 03, 04, 11, 14 et 18 réécrites pour la caisse FlaiX Expert ; parties 21 à 28 ajoutées</w:t>
            </w:r>
          </w:p>
        </w:tc>
        <w:tc>
          <w:tcPr>
            <w:tcW w:w="0" w:type="auto"/>
            <w:tcBorders>
              <w:top w:val="single" w:sz="6" w:space="0" w:color="D9D3F7"/>
              <w:left w:val="single" w:sz="6" w:space="0" w:color="D9D3F7"/>
              <w:bottom w:val="single" w:sz="6" w:space="0" w:color="D9D3F7"/>
              <w:right w:val="single" w:sz="6" w:space="0" w:color="D9D3F7"/>
            </w:tcBorders>
            <w:tcMar>
              <w:top w:w="60" w:type="dxa"/>
              <w:left w:w="100" w:type="dxa"/>
              <w:bottom w:w="60" w:type="dxa"/>
              <w:right w:w="100" w:type="dxa"/>
            </w:tcMar>
            <w:hideMark/>
          </w:tcPr>
          <w:p w14:paraId="717731CE" w14:textId="77777777" w:rsidR="007953BF" w:rsidRDefault="007953BF">
            <w:pPr>
              <w:spacing w:before="80" w:after="200"/>
              <w:rPr>
                <w:rFonts w:ascii="Calibri" w:eastAsia="Times New Roman" w:hAnsi="Calibri" w:cs="Calibri"/>
                <w:color w:val="1B1A22"/>
                <w:sz w:val="19"/>
                <w:szCs w:val="19"/>
              </w:rPr>
            </w:pPr>
            <w:r>
              <w:rPr>
                <w:rFonts w:ascii="Calibri" w:eastAsia="Times New Roman" w:hAnsi="Calibri" w:cs="Calibri"/>
                <w:color w:val="1B1A22"/>
                <w:sz w:val="19"/>
                <w:szCs w:val="19"/>
              </w:rPr>
              <w:t>à valider par Rémi</w:t>
            </w:r>
          </w:p>
        </w:tc>
      </w:tr>
    </w:tbl>
    <w:p w14:paraId="1EE9AF44" w14:textId="77777777" w:rsidR="007953BF" w:rsidRDefault="007953BF">
      <w:pPr>
        <w:pStyle w:val="NormalWeb"/>
        <w:rPr>
          <w:rFonts w:ascii="Calibri" w:hAnsi="Calibri" w:cs="Calibri"/>
          <w:color w:val="1B1A22"/>
          <w:sz w:val="21"/>
          <w:szCs w:val="21"/>
        </w:rPr>
      </w:pPr>
      <w:r>
        <w:rPr>
          <w:rFonts w:ascii="Calibri" w:hAnsi="Calibri" w:cs="Calibri"/>
          <w:color w:val="1B1A22"/>
          <w:sz w:val="21"/>
          <w:szCs w:val="21"/>
        </w:rPr>
        <w:t>Ce fichier est versionné avec le code (Git) : chaque modification est datée et attribuée.</w:t>
      </w:r>
    </w:p>
    <w:p w14:paraId="05F5833F"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70E3051E">
          <v:rect id="_x0000_i1045" style="width:0;height:1.5pt" o:hralign="center" o:hrstd="t" o:hr="t" fillcolor="#a0a0a0" stroked="f"/>
        </w:pict>
      </w:r>
    </w:p>
    <w:p w14:paraId="36B8BC90" w14:textId="77777777" w:rsidR="007953BF" w:rsidRDefault="007953BF">
      <w:pPr>
        <w:pStyle w:val="Titre2"/>
        <w:rPr>
          <w:rFonts w:ascii="Calibri" w:eastAsia="Times New Roman" w:hAnsi="Calibri" w:cs="Calibri"/>
        </w:rPr>
      </w:pPr>
      <w:r>
        <w:rPr>
          <w:rFonts w:ascii="Calibri" w:eastAsia="Times New Roman" w:hAnsi="Calibri" w:cs="Calibri"/>
        </w:rPr>
        <w:t xml:space="preserve">20 — Documents remis aux clients </w:t>
      </w:r>
      <w:r>
        <w:rPr>
          <w:rStyle w:val="Accentuation"/>
          <w:rFonts w:ascii="Calibri" w:eastAsia="Times New Roman" w:hAnsi="Calibri" w:cs="Calibri"/>
        </w:rPr>
        <w:t>(à construire)</w:t>
      </w:r>
    </w:p>
    <w:p w14:paraId="6826AE63" w14:textId="77777777" w:rsidR="007953BF" w:rsidRDefault="007953BF">
      <w:pPr>
        <w:pStyle w:val="NormalWeb"/>
        <w:rPr>
          <w:rFonts w:ascii="Calibri" w:hAnsi="Calibri" w:cs="Calibri"/>
          <w:color w:val="1B1A22"/>
          <w:sz w:val="21"/>
          <w:szCs w:val="21"/>
        </w:rPr>
      </w:pPr>
      <w:r>
        <w:rPr>
          <w:rFonts w:ascii="Calibri" w:hAnsi="Calibri" w:cs="Calibri"/>
          <w:color w:val="1B1A22"/>
          <w:sz w:val="21"/>
          <w:szCs w:val="21"/>
        </w:rPr>
        <w:t xml:space="preserve">Un espace </w:t>
      </w:r>
      <w:r>
        <w:rPr>
          <w:rStyle w:val="lev"/>
          <w:rFonts w:ascii="Calibri" w:hAnsi="Calibri" w:cs="Calibri"/>
          <w:color w:val="1B1A22"/>
          <w:sz w:val="21"/>
          <w:szCs w:val="21"/>
        </w:rPr>
        <w:t>Paramètres → Conformité</w:t>
      </w:r>
      <w:r>
        <w:rPr>
          <w:rFonts w:ascii="Calibri" w:hAnsi="Calibri" w:cs="Calibri"/>
          <w:color w:val="1B1A22"/>
          <w:sz w:val="21"/>
          <w:szCs w:val="21"/>
        </w:rPr>
        <w:t xml:space="preserve"> dans l'application du lieu, où le directeur trouve à tout moment :</w:t>
      </w:r>
    </w:p>
    <w:p w14:paraId="2EFCF025" w14:textId="77777777" w:rsidR="007953BF" w:rsidRDefault="007953BF">
      <w:pPr>
        <w:numPr>
          <w:ilvl w:val="0"/>
          <w:numId w:val="20"/>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son </w:t>
      </w:r>
      <w:r>
        <w:rPr>
          <w:rStyle w:val="lev"/>
          <w:rFonts w:ascii="Calibri" w:eastAsia="Times New Roman" w:hAnsi="Calibri" w:cs="Calibri"/>
          <w:color w:val="1B1A22"/>
          <w:sz w:val="21"/>
          <w:szCs w:val="21"/>
        </w:rPr>
        <w:t>attestation</w:t>
      </w:r>
      <w:r>
        <w:rPr>
          <w:rFonts w:ascii="Calibri" w:eastAsia="Times New Roman" w:hAnsi="Calibri" w:cs="Calibri"/>
          <w:color w:val="1B1A22"/>
          <w:sz w:val="21"/>
          <w:szCs w:val="21"/>
        </w:rPr>
        <w:t xml:space="preserve"> nominative, à jour de la version en service ;</w:t>
      </w:r>
    </w:p>
    <w:p w14:paraId="38958FA9" w14:textId="77777777" w:rsidR="007953BF" w:rsidRDefault="007953BF">
      <w:pPr>
        <w:numPr>
          <w:ilvl w:val="0"/>
          <w:numId w:val="20"/>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la </w:t>
      </w:r>
      <w:r>
        <w:rPr>
          <w:rStyle w:val="lev"/>
          <w:rFonts w:ascii="Calibri" w:eastAsia="Times New Roman" w:hAnsi="Calibri" w:cs="Calibri"/>
          <w:color w:val="1B1A22"/>
          <w:sz w:val="21"/>
          <w:szCs w:val="21"/>
        </w:rPr>
        <w:t>version</w:t>
      </w:r>
      <w:r>
        <w:rPr>
          <w:rFonts w:ascii="Calibri" w:eastAsia="Times New Roman" w:hAnsi="Calibri" w:cs="Calibri"/>
          <w:color w:val="1B1A22"/>
          <w:sz w:val="21"/>
          <w:szCs w:val="21"/>
        </w:rPr>
        <w:t xml:space="preserve"> utilisée et la date de sa mise en service ;</w:t>
      </w:r>
    </w:p>
    <w:p w14:paraId="5CB52687" w14:textId="77777777" w:rsidR="007953BF" w:rsidRDefault="007953BF">
      <w:pPr>
        <w:numPr>
          <w:ilvl w:val="0"/>
          <w:numId w:val="20"/>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ses </w:t>
      </w:r>
      <w:r>
        <w:rPr>
          <w:rStyle w:val="lev"/>
          <w:rFonts w:ascii="Calibri" w:eastAsia="Times New Roman" w:hAnsi="Calibri" w:cs="Calibri"/>
          <w:color w:val="1B1A22"/>
          <w:sz w:val="21"/>
          <w:szCs w:val="21"/>
        </w:rPr>
        <w:t>archives</w:t>
      </w:r>
      <w:r>
        <w:rPr>
          <w:rFonts w:ascii="Calibri" w:eastAsia="Times New Roman" w:hAnsi="Calibri" w:cs="Calibri"/>
          <w:color w:val="1B1A22"/>
          <w:sz w:val="21"/>
          <w:szCs w:val="21"/>
        </w:rPr>
        <w:t xml:space="preserve"> d'exercice et la façon de les vérifier ;</w:t>
      </w:r>
    </w:p>
    <w:p w14:paraId="2C93E49B" w14:textId="77777777" w:rsidR="007953BF" w:rsidRDefault="007953BF">
      <w:pPr>
        <w:numPr>
          <w:ilvl w:val="0"/>
          <w:numId w:val="20"/>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w:t>
      </w:r>
      <w:r>
        <w:rPr>
          <w:rStyle w:val="lev"/>
          <w:rFonts w:ascii="Calibri" w:eastAsia="Times New Roman" w:hAnsi="Calibri" w:cs="Calibri"/>
          <w:color w:val="1B1A22"/>
          <w:sz w:val="21"/>
          <w:szCs w:val="21"/>
        </w:rPr>
        <w:t>export</w:t>
      </w:r>
      <w:r>
        <w:rPr>
          <w:rFonts w:ascii="Calibri" w:eastAsia="Times New Roman" w:hAnsi="Calibri" w:cs="Calibri"/>
          <w:color w:val="1B1A22"/>
          <w:sz w:val="21"/>
          <w:szCs w:val="21"/>
        </w:rPr>
        <w:t xml:space="preserve"> des données d'une période (voie A du §15.12) et la création d'un </w:t>
      </w:r>
      <w:r>
        <w:rPr>
          <w:rStyle w:val="lev"/>
          <w:rFonts w:ascii="Calibri" w:eastAsia="Times New Roman" w:hAnsi="Calibri" w:cs="Calibri"/>
          <w:color w:val="1B1A22"/>
          <w:sz w:val="21"/>
          <w:szCs w:val="21"/>
        </w:rPr>
        <w:t>compte vérificateur</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(voie B) ;</w:t>
      </w:r>
    </w:p>
    <w:p w14:paraId="40B5E6CD" w14:textId="77777777" w:rsidR="007953BF" w:rsidRDefault="007953BF">
      <w:pPr>
        <w:numPr>
          <w:ilvl w:val="0"/>
          <w:numId w:val="20"/>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la </w:t>
      </w:r>
      <w:r>
        <w:rPr>
          <w:rStyle w:val="lev"/>
          <w:rFonts w:ascii="Calibri" w:eastAsia="Times New Roman" w:hAnsi="Calibri" w:cs="Calibri"/>
          <w:color w:val="1B1A22"/>
          <w:sz w:val="21"/>
          <w:szCs w:val="21"/>
        </w:rPr>
        <w:t>déclaration du lieu de stockage</w:t>
      </w:r>
      <w:r>
        <w:rPr>
          <w:rFonts w:ascii="Calibri" w:eastAsia="Times New Roman" w:hAnsi="Calibri" w:cs="Calibri"/>
          <w:color w:val="1B1A22"/>
          <w:sz w:val="21"/>
          <w:szCs w:val="21"/>
        </w:rPr>
        <w:t xml:space="preserve"> pré-remplie (nom et adresse de l'hébergeur) ;</w:t>
      </w:r>
    </w:p>
    <w:p w14:paraId="1D640DCF" w14:textId="77777777" w:rsidR="007953BF" w:rsidRDefault="007953BF">
      <w:pPr>
        <w:numPr>
          <w:ilvl w:val="0"/>
          <w:numId w:val="20"/>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les </w:t>
      </w:r>
      <w:r>
        <w:rPr>
          <w:rStyle w:val="lev"/>
          <w:rFonts w:ascii="Calibri" w:eastAsia="Times New Roman" w:hAnsi="Calibri" w:cs="Calibri"/>
          <w:color w:val="1B1A22"/>
          <w:sz w:val="21"/>
          <w:szCs w:val="21"/>
        </w:rPr>
        <w:t>conditions d'utilisation</w:t>
      </w:r>
      <w:r>
        <w:rPr>
          <w:rFonts w:ascii="Calibri" w:eastAsia="Times New Roman" w:hAnsi="Calibri" w:cs="Calibri"/>
          <w:color w:val="1B1A22"/>
          <w:sz w:val="21"/>
          <w:szCs w:val="21"/>
        </w:rPr>
        <w:t>, la notice de conservation et d'archivage, et le contrat de sous-traitance RGPD.</w:t>
      </w:r>
    </w:p>
    <w:p w14:paraId="22726EAE" w14:textId="77777777" w:rsidR="007953BF" w:rsidRDefault="007953BF">
      <w:pPr>
        <w:pStyle w:val="NormalWeb"/>
        <w:rPr>
          <w:rFonts w:ascii="Calibri" w:hAnsi="Calibri" w:cs="Calibri"/>
          <w:color w:val="1B1A22"/>
          <w:sz w:val="21"/>
          <w:szCs w:val="21"/>
        </w:rPr>
      </w:pPr>
      <w:r>
        <w:rPr>
          <w:rFonts w:ascii="Calibri" w:hAnsi="Calibri" w:cs="Calibri"/>
          <w:color w:val="1B1A22"/>
          <w:sz w:val="21"/>
          <w:szCs w:val="21"/>
        </w:rPr>
        <w:t>Le journal technique et la vérification d'intégrité y sont déjà (Paramètres → Conformité).</w:t>
      </w:r>
    </w:p>
    <w:p w14:paraId="1B0CD0B2"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5048434A">
          <v:rect id="_x0000_i1046" style="width:0;height:1.5pt" o:hralign="center" o:hrstd="t" o:hr="t" fillcolor="#a0a0a0" stroked="f"/>
        </w:pict>
      </w:r>
    </w:p>
    <w:p w14:paraId="55AEFB14" w14:textId="77777777" w:rsidR="007953BF" w:rsidRDefault="007953BF">
      <w:pPr>
        <w:pStyle w:val="Titre2"/>
        <w:rPr>
          <w:rFonts w:ascii="Calibri" w:eastAsia="Times New Roman" w:hAnsi="Calibri" w:cs="Calibri"/>
        </w:rPr>
      </w:pPr>
      <w:r>
        <w:rPr>
          <w:rFonts w:ascii="Calibri" w:eastAsia="Times New Roman" w:hAnsi="Calibri" w:cs="Calibri"/>
        </w:rPr>
        <w:t xml:space="preserve">21 — Vente sans réseau </w:t>
      </w:r>
      <w:r>
        <w:rPr>
          <w:rStyle w:val="Accentuation"/>
          <w:rFonts w:ascii="Calibri" w:eastAsia="Times New Roman" w:hAnsi="Calibri" w:cs="Calibri"/>
        </w:rPr>
        <w:t>(ajouté)</w:t>
      </w:r>
    </w:p>
    <w:p w14:paraId="34E313DF"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Construit</w:t>
      </w:r>
      <w:r>
        <w:rPr>
          <w:rFonts w:ascii="Calibri" w:hAnsi="Calibri" w:cs="Calibri"/>
          <w:color w:val="1B1A22"/>
          <w:sz w:val="21"/>
          <w:szCs w:val="21"/>
        </w:rPr>
        <w:t xml:space="preserve"> (§15.97). Un match sature souvent le réseau.</w:t>
      </w:r>
    </w:p>
    <w:p w14:paraId="067E112E" w14:textId="77777777" w:rsidR="007953BF" w:rsidRDefault="007953BF">
      <w:pPr>
        <w:numPr>
          <w:ilvl w:val="0"/>
          <w:numId w:val="21"/>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Chaque vente est </w:t>
      </w:r>
      <w:r>
        <w:rPr>
          <w:rStyle w:val="lev"/>
          <w:rFonts w:ascii="Calibri" w:eastAsia="Times New Roman" w:hAnsi="Calibri" w:cs="Calibri"/>
          <w:color w:val="1B1A22"/>
          <w:sz w:val="21"/>
          <w:szCs w:val="21"/>
        </w:rPr>
        <w:t>scellée sur la tablette</w:t>
      </w:r>
      <w:r>
        <w:rPr>
          <w:rFonts w:ascii="Calibri" w:eastAsia="Times New Roman" w:hAnsi="Calibri" w:cs="Calibri"/>
          <w:color w:val="1B1A22"/>
          <w:sz w:val="21"/>
          <w:szCs w:val="21"/>
        </w:rPr>
        <w:t xml:space="preserve"> (numéro, heure, empreinte chaînée à la précédente de la même caisse) et </w:t>
      </w:r>
      <w:r>
        <w:rPr>
          <w:rStyle w:val="lev"/>
          <w:rFonts w:ascii="Calibri" w:eastAsia="Times New Roman" w:hAnsi="Calibri" w:cs="Calibri"/>
          <w:color w:val="1B1A22"/>
          <w:sz w:val="21"/>
          <w:szCs w:val="21"/>
        </w:rPr>
        <w:t>gardée en mémoire locale avant d'être affichée comme payée</w:t>
      </w:r>
      <w:r>
        <w:rPr>
          <w:rFonts w:ascii="Calibri" w:eastAsia="Times New Roman" w:hAnsi="Calibri" w:cs="Calibri"/>
          <w:color w:val="1B1A22"/>
          <w:sz w:val="21"/>
          <w:szCs w:val="21"/>
        </w:rPr>
        <w:t>.</w:t>
      </w:r>
    </w:p>
    <w:p w14:paraId="2D65C9E9" w14:textId="77777777" w:rsidR="007953BF" w:rsidRDefault="007953BF">
      <w:pPr>
        <w:numPr>
          <w:ilvl w:val="0"/>
          <w:numId w:val="21"/>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La tablette renvoie les ventes en attente toutes les 8 secondes et dès le retour du réseau. Le serveur </w:t>
      </w:r>
      <w:r>
        <w:rPr>
          <w:rStyle w:val="lev"/>
          <w:rFonts w:ascii="Calibri" w:eastAsia="Times New Roman" w:hAnsi="Calibri" w:cs="Calibri"/>
          <w:color w:val="1B1A22"/>
          <w:sz w:val="21"/>
          <w:szCs w:val="21"/>
        </w:rPr>
        <w:t>vérifie chaque maillon</w:t>
      </w:r>
      <w:r>
        <w:rPr>
          <w:rFonts w:ascii="Calibri" w:eastAsia="Times New Roman" w:hAnsi="Calibri" w:cs="Calibri"/>
          <w:color w:val="1B1A22"/>
          <w:sz w:val="21"/>
          <w:szCs w:val="21"/>
        </w:rPr>
        <w:t xml:space="preserve"> et garde l'heure de la vente ; il note à part l'heure de réception.</w:t>
      </w:r>
    </w:p>
    <w:p w14:paraId="34FFABF6" w14:textId="77777777" w:rsidR="007953BF" w:rsidRDefault="007953BF">
      <w:pPr>
        <w:numPr>
          <w:ilvl w:val="0"/>
          <w:numId w:val="21"/>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Aucun trou ni doublon</w:t>
      </w:r>
      <w:r>
        <w:rPr>
          <w:rFonts w:ascii="Calibri" w:eastAsia="Times New Roman" w:hAnsi="Calibri" w:cs="Calibri"/>
          <w:color w:val="1B1A22"/>
          <w:sz w:val="21"/>
          <w:szCs w:val="21"/>
        </w:rPr>
        <w:t xml:space="preserve"> : numérotation propre à chaque caisse ; deux caisses hors ligne en même temps ne se gênent pas (test F3).</w:t>
      </w:r>
    </w:p>
    <w:p w14:paraId="4F74DEAC" w14:textId="77777777" w:rsidR="007953BF" w:rsidRDefault="007953BF">
      <w:pPr>
        <w:numPr>
          <w:ilvl w:val="0"/>
          <w:numId w:val="21"/>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La </w:t>
      </w:r>
      <w:r>
        <w:rPr>
          <w:rStyle w:val="lev"/>
          <w:rFonts w:ascii="Calibri" w:eastAsia="Times New Roman" w:hAnsi="Calibri" w:cs="Calibri"/>
          <w:color w:val="1B1A22"/>
          <w:sz w:val="21"/>
          <w:szCs w:val="21"/>
        </w:rPr>
        <w:t>clôture de caisse exige le réseau</w:t>
      </w:r>
      <w:r>
        <w:rPr>
          <w:rFonts w:ascii="Calibri" w:eastAsia="Times New Roman" w:hAnsi="Calibri" w:cs="Calibri"/>
          <w:color w:val="1B1A22"/>
          <w:sz w:val="21"/>
          <w:szCs w:val="21"/>
        </w:rPr>
        <w:t xml:space="preserve"> et est refusée tant qu'un ticket manque (test F4).</w:t>
      </w:r>
    </w:p>
    <w:p w14:paraId="518F5250" w14:textId="77777777" w:rsidR="007953BF" w:rsidRDefault="007953BF">
      <w:pPr>
        <w:numPr>
          <w:ilvl w:val="0"/>
          <w:numId w:val="21"/>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Le paiement carte se fait sur le TPE du lieu, qui a son propre réseau.</w:t>
      </w:r>
    </w:p>
    <w:p w14:paraId="02559B23"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Limite</w:t>
      </w:r>
      <w:r>
        <w:rPr>
          <w:rFonts w:ascii="Calibri" w:hAnsi="Calibri" w:cs="Calibri"/>
          <w:color w:val="1B1A22"/>
          <w:sz w:val="21"/>
          <w:szCs w:val="21"/>
        </w:rPr>
        <w:t xml:space="preserve"> : une tablette perdue ou détruite </w:t>
      </w:r>
      <w:r>
        <w:rPr>
          <w:rStyle w:val="lev"/>
          <w:rFonts w:ascii="Calibri" w:hAnsi="Calibri" w:cs="Calibri"/>
          <w:color w:val="1B1A22"/>
          <w:sz w:val="21"/>
          <w:szCs w:val="21"/>
        </w:rPr>
        <w:t>avant</w:t>
      </w:r>
      <w:r>
        <w:rPr>
          <w:rFonts w:ascii="Calibri" w:hAnsi="Calibri" w:cs="Calibri"/>
          <w:color w:val="1B1A22"/>
          <w:sz w:val="21"/>
          <w:szCs w:val="21"/>
        </w:rPr>
        <w:t xml:space="preserve"> d'avoir envoyé ses ventes les perd. La clôture le révèle (trou dans la séquence), mais ne les reconstitue pas (partie 28).</w:t>
      </w:r>
    </w:p>
    <w:p w14:paraId="292D398D"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7F4A3D3A">
          <v:rect id="_x0000_i1047" style="width:0;height:1.5pt" o:hralign="center" o:hrstd="t" o:hr="t" fillcolor="#a0a0a0" stroked="f"/>
        </w:pict>
      </w:r>
    </w:p>
    <w:p w14:paraId="470593AB" w14:textId="77777777" w:rsidR="007953BF" w:rsidRDefault="007953BF">
      <w:pPr>
        <w:pStyle w:val="Titre2"/>
        <w:rPr>
          <w:rFonts w:ascii="Calibri" w:eastAsia="Times New Roman" w:hAnsi="Calibri" w:cs="Calibri"/>
        </w:rPr>
      </w:pPr>
      <w:r>
        <w:rPr>
          <w:rFonts w:ascii="Calibri" w:eastAsia="Times New Roman" w:hAnsi="Calibri" w:cs="Calibri"/>
        </w:rPr>
        <w:t xml:space="preserve">22 — Mode formation </w:t>
      </w:r>
      <w:r>
        <w:rPr>
          <w:rStyle w:val="Accentuation"/>
          <w:rFonts w:ascii="Calibri" w:eastAsia="Times New Roman" w:hAnsi="Calibri" w:cs="Calibri"/>
        </w:rPr>
        <w:t>(ajouté)</w:t>
      </w:r>
    </w:p>
    <w:p w14:paraId="3BFECF81"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Construit</w:t>
      </w:r>
      <w:r>
        <w:rPr>
          <w:rFonts w:ascii="Calibri" w:hAnsi="Calibri" w:cs="Calibri"/>
          <w:color w:val="1B1A22"/>
          <w:sz w:val="21"/>
          <w:szCs w:val="21"/>
        </w:rPr>
        <w:t xml:space="preserve"> (BOFiP §150, §15.109).</w:t>
      </w:r>
    </w:p>
    <w:p w14:paraId="396B4D2C" w14:textId="77777777" w:rsidR="007953BF" w:rsidRDefault="007953BF">
      <w:pPr>
        <w:numPr>
          <w:ilvl w:val="0"/>
          <w:numId w:val="22"/>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Un lieu d'entraînement jumeau</w:t>
      </w:r>
      <w:r>
        <w:rPr>
          <w:rFonts w:ascii="Calibri" w:eastAsia="Times New Roman" w:hAnsi="Calibri" w:cs="Calibri"/>
          <w:color w:val="1B1A22"/>
          <w:sz w:val="21"/>
          <w:szCs w:val="21"/>
        </w:rPr>
        <w:t xml:space="preserve">, séparé par la base comme n'importe quel autre lieu : une vente d'entraînement </w:t>
      </w:r>
      <w:r>
        <w:rPr>
          <w:rStyle w:val="lev"/>
          <w:rFonts w:ascii="Calibri" w:eastAsia="Times New Roman" w:hAnsi="Calibri" w:cs="Calibri"/>
          <w:color w:val="1B1A22"/>
          <w:sz w:val="21"/>
          <w:szCs w:val="21"/>
        </w:rPr>
        <w:t>ne peut pas</w:t>
      </w:r>
      <w:r>
        <w:rPr>
          <w:rFonts w:ascii="Calibri" w:eastAsia="Times New Roman" w:hAnsi="Calibri" w:cs="Calibri"/>
          <w:color w:val="1B1A22"/>
          <w:sz w:val="21"/>
          <w:szCs w:val="21"/>
        </w:rPr>
        <w:t xml:space="preserve"> toucher un compteur du vrai lieu (test B4).</w:t>
      </w:r>
    </w:p>
    <w:p w14:paraId="647C6B7F" w14:textId="77777777" w:rsidR="007953BF" w:rsidRDefault="007953BF">
      <w:pPr>
        <w:numPr>
          <w:ilvl w:val="0"/>
          <w:numId w:val="22"/>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La configuration est recopiée du vrai lieu et ne se modifie pas dans le lieu d'entraînement.</w:t>
      </w:r>
    </w:p>
    <w:p w14:paraId="1434D12A" w14:textId="77777777" w:rsidR="007953BF" w:rsidRDefault="007953BF">
      <w:pPr>
        <w:numPr>
          <w:ilvl w:val="0"/>
          <w:numId w:val="22"/>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Bandeau rayé « MODE FORMATION — FACTICE »</w:t>
      </w:r>
      <w:r>
        <w:rPr>
          <w:rFonts w:ascii="Calibri" w:eastAsia="Times New Roman" w:hAnsi="Calibri" w:cs="Calibri"/>
          <w:color w:val="1B1A22"/>
          <w:sz w:val="21"/>
          <w:szCs w:val="21"/>
        </w:rPr>
        <w:t xml:space="preserve"> non masquable, filigrane sur toute page imprimée, </w:t>
      </w:r>
      <w:r>
        <w:rPr>
          <w:rStyle w:val="lev"/>
          <w:rFonts w:ascii="Calibri" w:eastAsia="Times New Roman" w:hAnsi="Calibri" w:cs="Calibri"/>
          <w:color w:val="1B1A22"/>
          <w:sz w:val="21"/>
          <w:szCs w:val="21"/>
        </w:rPr>
        <w:t>mention en tête et en pied du ticket</w:t>
      </w:r>
      <w:r>
        <w:rPr>
          <w:rFonts w:ascii="Calibri" w:eastAsia="Times New Roman" w:hAnsi="Calibri" w:cs="Calibri"/>
          <w:color w:val="1B1A22"/>
          <w:sz w:val="21"/>
          <w:szCs w:val="21"/>
        </w:rPr>
        <w:t>.</w:t>
      </w:r>
    </w:p>
    <w:p w14:paraId="4948EC8F" w14:textId="77777777" w:rsidR="007953BF" w:rsidRDefault="007953BF">
      <w:pPr>
        <w:numPr>
          <w:ilvl w:val="0"/>
          <w:numId w:val="22"/>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Tablettes mises en formation par le directeur ; bascule refusée si la vraie caisse est ouverte.</w:t>
      </w:r>
    </w:p>
    <w:p w14:paraId="0DA7FB8D" w14:textId="77777777" w:rsidR="007953BF" w:rsidRDefault="007953BF">
      <w:pPr>
        <w:numPr>
          <w:ilvl w:val="0"/>
          <w:numId w:val="22"/>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Entrées, sorties et remises à zéro inscrites au </w:t>
      </w:r>
      <w:r>
        <w:rPr>
          <w:rStyle w:val="lev"/>
          <w:rFonts w:ascii="Calibri" w:eastAsia="Times New Roman" w:hAnsi="Calibri" w:cs="Calibri"/>
          <w:color w:val="1B1A22"/>
          <w:sz w:val="21"/>
          <w:szCs w:val="21"/>
        </w:rPr>
        <w:t>journal du vrai lieu</w:t>
      </w:r>
      <w:r>
        <w:rPr>
          <w:rFonts w:ascii="Calibri" w:eastAsia="Times New Roman" w:hAnsi="Calibri" w:cs="Calibri"/>
          <w:color w:val="1B1A22"/>
          <w:sz w:val="21"/>
          <w:szCs w:val="21"/>
        </w:rPr>
        <w:t>.</w:t>
      </w:r>
    </w:p>
    <w:p w14:paraId="0069FC49"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5E1BE7FC">
          <v:rect id="_x0000_i1048" style="width:0;height:1.5pt" o:hralign="center" o:hrstd="t" o:hr="t" fillcolor="#a0a0a0" stroked="f"/>
        </w:pict>
      </w:r>
    </w:p>
    <w:p w14:paraId="7D002880" w14:textId="77777777" w:rsidR="007953BF" w:rsidRDefault="007953BF">
      <w:pPr>
        <w:pStyle w:val="Titre2"/>
        <w:rPr>
          <w:rFonts w:ascii="Calibri" w:eastAsia="Times New Roman" w:hAnsi="Calibri" w:cs="Calibri"/>
        </w:rPr>
      </w:pPr>
      <w:r>
        <w:rPr>
          <w:rFonts w:ascii="Calibri" w:eastAsia="Times New Roman" w:hAnsi="Calibri" w:cs="Calibri"/>
        </w:rPr>
        <w:t xml:space="preserve">23 — Clôtures et totaux </w:t>
      </w:r>
      <w:r>
        <w:rPr>
          <w:rStyle w:val="Accentuation"/>
          <w:rFonts w:ascii="Calibri" w:eastAsia="Times New Roman" w:hAnsi="Calibri" w:cs="Calibri"/>
        </w:rPr>
        <w:t>(ajouté)</w:t>
      </w:r>
    </w:p>
    <w:p w14:paraId="0A1EA83F"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Construit</w:t>
      </w:r>
      <w:r>
        <w:rPr>
          <w:rFonts w:ascii="Calibri" w:hAnsi="Calibri" w:cs="Calibri"/>
          <w:color w:val="1B1A22"/>
          <w:sz w:val="21"/>
          <w:szCs w:val="21"/>
        </w:rPr>
        <w:t xml:space="preserve"> (BOFiP §170, §15.102, §15.107).</w:t>
      </w:r>
    </w:p>
    <w:p w14:paraId="55293068" w14:textId="77777777" w:rsidR="007953BF" w:rsidRDefault="007953BF">
      <w:pPr>
        <w:numPr>
          <w:ilvl w:val="0"/>
          <w:numId w:val="23"/>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Z du match</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xml:space="preserve">(clôture journalière) : totaux, TVA par taux, grand total et </w:t>
      </w:r>
      <w:r>
        <w:rPr>
          <w:rStyle w:val="lev"/>
          <w:rFonts w:ascii="Calibri" w:eastAsia="Times New Roman" w:hAnsi="Calibri" w:cs="Calibri"/>
          <w:color w:val="1B1A22"/>
          <w:sz w:val="21"/>
          <w:szCs w:val="21"/>
        </w:rPr>
        <w:t>total perpétuel</w:t>
      </w:r>
      <w:r>
        <w:rPr>
          <w:rFonts w:ascii="Calibri" w:eastAsia="Times New Roman" w:hAnsi="Calibri" w:cs="Calibri"/>
          <w:color w:val="1B1A22"/>
          <w:sz w:val="21"/>
          <w:szCs w:val="21"/>
        </w:rPr>
        <w:t>, scellés. Le match ne se clôt pas tant qu'une caisse est ouverte, qu'un tiroir n'a pas son Z, que le coffre n'est pas compté ou que le stock mis en place n'est pas compté.</w:t>
      </w:r>
    </w:p>
    <w:p w14:paraId="2832F67A" w14:textId="77777777" w:rsidR="007953BF" w:rsidRDefault="007953BF">
      <w:pPr>
        <w:numPr>
          <w:ilvl w:val="0"/>
          <w:numId w:val="23"/>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Clôture mensuelle</w:t>
      </w:r>
      <w:r>
        <w:rPr>
          <w:rFonts w:ascii="Calibri" w:eastAsia="Times New Roman" w:hAnsi="Calibri" w:cs="Calibri"/>
          <w:color w:val="1B1A22"/>
          <w:sz w:val="21"/>
          <w:szCs w:val="21"/>
        </w:rPr>
        <w:t xml:space="preserve"> : une fois le mois terminé et tous ses matchs clos ; grand total du mois = somme de ses Z.</w:t>
      </w:r>
    </w:p>
    <w:p w14:paraId="462660FD" w14:textId="77777777" w:rsidR="007953BF" w:rsidRDefault="007953BF">
      <w:pPr>
        <w:numPr>
          <w:ilvl w:val="0"/>
          <w:numId w:val="23"/>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Clôture de l'exercice</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une fois l'exercice terminé et ses mois clôturés. Le premier mois de l'exercice est réglé par le directeur ; tant qu'il ne l'est pas, la clôture d'exercice est refusée.</w:t>
      </w:r>
    </w:p>
    <w:p w14:paraId="4963AC5E" w14:textId="77777777" w:rsidR="007953BF" w:rsidRDefault="007953BF">
      <w:pPr>
        <w:numPr>
          <w:ilvl w:val="0"/>
          <w:numId w:val="23"/>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Total perpétuel</w:t>
      </w:r>
      <w:r>
        <w:rPr>
          <w:rFonts w:ascii="Calibri" w:eastAsia="Times New Roman" w:hAnsi="Calibri" w:cs="Calibri"/>
          <w:color w:val="1B1A22"/>
          <w:sz w:val="21"/>
          <w:szCs w:val="21"/>
        </w:rPr>
        <w:t xml:space="preserve"> : celui de la clôture précédente + grand total ; </w:t>
      </w:r>
      <w:r>
        <w:rPr>
          <w:rStyle w:val="lev"/>
          <w:rFonts w:ascii="Calibri" w:eastAsia="Times New Roman" w:hAnsi="Calibri" w:cs="Calibri"/>
          <w:color w:val="1B1A22"/>
          <w:sz w:val="21"/>
          <w:szCs w:val="21"/>
        </w:rPr>
        <w:t>jamais remis à zéro</w:t>
      </w:r>
      <w:r>
        <w:rPr>
          <w:rFonts w:ascii="Calibri" w:eastAsia="Times New Roman" w:hAnsi="Calibri" w:cs="Calibri"/>
          <w:color w:val="1B1A22"/>
          <w:sz w:val="21"/>
          <w:szCs w:val="21"/>
        </w:rPr>
        <w:t xml:space="preserve"> (test C5). Chaque clôture est chaînée à la précédente.</w:t>
      </w:r>
    </w:p>
    <w:p w14:paraId="0FD85F8D"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6F9F8995">
          <v:rect id="_x0000_i1049" style="width:0;height:1.5pt" o:hralign="center" o:hrstd="t" o:hr="t" fillcolor="#a0a0a0" stroked="f"/>
        </w:pict>
      </w:r>
    </w:p>
    <w:p w14:paraId="7AD6700C" w14:textId="77777777" w:rsidR="007953BF" w:rsidRDefault="007953BF">
      <w:pPr>
        <w:pStyle w:val="Titre2"/>
        <w:rPr>
          <w:rFonts w:ascii="Calibri" w:eastAsia="Times New Roman" w:hAnsi="Calibri" w:cs="Calibri"/>
        </w:rPr>
      </w:pPr>
      <w:r>
        <w:rPr>
          <w:rFonts w:ascii="Calibri" w:eastAsia="Times New Roman" w:hAnsi="Calibri" w:cs="Calibri"/>
        </w:rPr>
        <w:t xml:space="preserve">24 — Ticket client et duplicata </w:t>
      </w:r>
      <w:r>
        <w:rPr>
          <w:rStyle w:val="Accentuation"/>
          <w:rFonts w:ascii="Calibri" w:eastAsia="Times New Roman" w:hAnsi="Calibri" w:cs="Calibri"/>
        </w:rPr>
        <w:t>(ajouté)</w:t>
      </w:r>
    </w:p>
    <w:p w14:paraId="0F9575AC"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Construit</w:t>
      </w:r>
      <w:r>
        <w:rPr>
          <w:rFonts w:ascii="Calibri" w:hAnsi="Calibri" w:cs="Calibri"/>
          <w:color w:val="1B1A22"/>
          <w:sz w:val="21"/>
          <w:szCs w:val="21"/>
        </w:rPr>
        <w:t xml:space="preserve"> (§15.101) : décision de Rémi du 2026-09-30, </w:t>
      </w:r>
      <w:r>
        <w:rPr>
          <w:rStyle w:val="lev"/>
          <w:rFonts w:ascii="Calibri" w:hAnsi="Calibri" w:cs="Calibri"/>
          <w:color w:val="1B1A22"/>
          <w:sz w:val="21"/>
          <w:szCs w:val="21"/>
        </w:rPr>
        <w:t>aucun ticket imprimé par défaut</w:t>
      </w:r>
      <w:r>
        <w:rPr>
          <w:rFonts w:ascii="Calibri" w:hAnsi="Calibri" w:cs="Calibri"/>
          <w:color w:val="1B1A22"/>
          <w:sz w:val="21"/>
          <w:szCs w:val="21"/>
        </w:rPr>
        <w:t xml:space="preserve">. Sur demande du client, le directeur produit le ticket depuis le logiciel, avec les mentions du BOFiP §50 et l'identité du lieu. </w:t>
      </w:r>
      <w:r>
        <w:rPr>
          <w:rStyle w:val="lev"/>
          <w:rFonts w:ascii="Calibri" w:hAnsi="Calibri" w:cs="Calibri"/>
          <w:color w:val="1B1A22"/>
          <w:sz w:val="21"/>
          <w:szCs w:val="21"/>
        </w:rPr>
        <w:t>Toute réédition est un duplicata, marqué comme tel et inscrit au journal</w:t>
      </w:r>
      <w:r>
        <w:rPr>
          <w:rFonts w:ascii="Calibri" w:hAnsi="Calibri" w:cs="Calibri"/>
          <w:color w:val="1B1A22"/>
          <w:sz w:val="21"/>
          <w:szCs w:val="21"/>
        </w:rPr>
        <w:t xml:space="preserve"> (</w:t>
      </w:r>
      <w:r>
        <w:rPr>
          <w:rStyle w:val="CodeHTML"/>
        </w:rPr>
        <w:t>ticket_edite</w:t>
      </w:r>
      <w:r>
        <w:rPr>
          <w:rFonts w:ascii="Calibri" w:hAnsi="Calibri" w:cs="Calibri"/>
          <w:color w:val="1B1A22"/>
          <w:sz w:val="21"/>
          <w:szCs w:val="21"/>
        </w:rPr>
        <w:t>).</w:t>
      </w:r>
    </w:p>
    <w:p w14:paraId="73CFFDF4"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Question ouverte (G.18)</w:t>
      </w:r>
      <w:r>
        <w:rPr>
          <w:rFonts w:ascii="Calibri" w:hAnsi="Calibri" w:cs="Calibri"/>
          <w:color w:val="1B1A22"/>
          <w:sz w:val="21"/>
          <w:szCs w:val="21"/>
        </w:rPr>
        <w:t xml:space="preserve"> : l'exception « hôtellerie-restauration » de l'article D541-371 du code de l'environnement rend-elle le ticket </w:t>
      </w:r>
      <w:r>
        <w:rPr>
          <w:rStyle w:val="lev"/>
          <w:rFonts w:ascii="Calibri" w:hAnsi="Calibri" w:cs="Calibri"/>
          <w:color w:val="1B1A22"/>
          <w:sz w:val="21"/>
          <w:szCs w:val="21"/>
        </w:rPr>
        <w:t>obligatoire par défaut</w:t>
      </w:r>
      <w:r>
        <w:rPr>
          <w:rFonts w:ascii="Calibri" w:hAnsi="Calibri" w:cs="Calibri"/>
          <w:color w:val="1B1A22"/>
          <w:sz w:val="21"/>
          <w:szCs w:val="21"/>
        </w:rPr>
        <w:t xml:space="preserve"> en buvette ? Si oui, il faudra une impression par caisse ou un ticket dématérialisé avec consentement (§15.18). </w:t>
      </w:r>
      <w:r>
        <w:rPr>
          <w:rStyle w:val="lev"/>
          <w:rFonts w:ascii="Calibri" w:hAnsi="Calibri" w:cs="Calibri"/>
          <w:color w:val="1B1A22"/>
          <w:sz w:val="21"/>
          <w:szCs w:val="21"/>
        </w:rPr>
        <w:t>Ce dossier ne tranche pas.</w:t>
      </w:r>
    </w:p>
    <w:p w14:paraId="0D4E7BDF"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566E0D91">
          <v:rect id="_x0000_i1050" style="width:0;height:1.5pt" o:hralign="center" o:hrstd="t" o:hr="t" fillcolor="#a0a0a0" stroked="f"/>
        </w:pict>
      </w:r>
    </w:p>
    <w:p w14:paraId="16F2C1CD" w14:textId="77777777" w:rsidR="007953BF" w:rsidRDefault="007953BF">
      <w:pPr>
        <w:pStyle w:val="Titre2"/>
        <w:rPr>
          <w:rFonts w:ascii="Calibri" w:eastAsia="Times New Roman" w:hAnsi="Calibri" w:cs="Calibri"/>
        </w:rPr>
      </w:pPr>
      <w:r>
        <w:rPr>
          <w:rFonts w:ascii="Calibri" w:eastAsia="Times New Roman" w:hAnsi="Calibri" w:cs="Calibri"/>
        </w:rPr>
        <w:t xml:space="preserve">25 — Contrôle inopiné et accès de l'administration </w:t>
      </w:r>
      <w:r>
        <w:rPr>
          <w:rStyle w:val="Accentuation"/>
          <w:rFonts w:ascii="Calibri" w:eastAsia="Times New Roman" w:hAnsi="Calibri" w:cs="Calibri"/>
        </w:rPr>
        <w:t>(ajouté)</w:t>
      </w:r>
    </w:p>
    <w:p w14:paraId="7A019A41"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Le contexte</w:t>
      </w:r>
      <w:r>
        <w:rPr>
          <w:rFonts w:ascii="Calibri" w:hAnsi="Calibri" w:cs="Calibri"/>
          <w:color w:val="1B1A22"/>
          <w:sz w:val="21"/>
          <w:szCs w:val="21"/>
        </w:rPr>
        <w:t xml:space="preserve"> : le contrôle de l'art. </w:t>
      </w:r>
      <w:r>
        <w:rPr>
          <w:rStyle w:val="lev"/>
          <w:rFonts w:ascii="Calibri" w:hAnsi="Calibri" w:cs="Calibri"/>
          <w:color w:val="1B1A22"/>
          <w:sz w:val="21"/>
          <w:szCs w:val="21"/>
        </w:rPr>
        <w:t>L80 O du LPF</w:t>
      </w:r>
      <w:r>
        <w:rPr>
          <w:rFonts w:ascii="Calibri" w:hAnsi="Calibri" w:cs="Calibri"/>
          <w:color w:val="1B1A22"/>
          <w:sz w:val="21"/>
          <w:szCs w:val="21"/>
        </w:rPr>
        <w:t xml:space="preserve"> est inopiné, dans les locaux professionnels, entre 8 h et 20 h. Le lieu doit présenter l'attestation et donner accès à ses données.</w:t>
      </w:r>
    </w:p>
    <w:p w14:paraId="2A87A614"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Ce que le lieu doit pouvoir faire seul, en quelques minutes :</w:t>
      </w:r>
    </w:p>
    <w:p w14:paraId="30FB077C" w14:textId="77777777" w:rsidR="007953BF" w:rsidRDefault="007953BF">
      <w:pPr>
        <w:numPr>
          <w:ilvl w:val="0"/>
          <w:numId w:val="24"/>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Présenter l'attestation</w:t>
      </w:r>
      <w:r>
        <w:rPr>
          <w:rFonts w:ascii="Calibri" w:eastAsia="Times New Roman" w:hAnsi="Calibri" w:cs="Calibri"/>
          <w:color w:val="1B1A22"/>
          <w:sz w:val="21"/>
          <w:szCs w:val="21"/>
        </w:rPr>
        <w:t xml:space="preserve"> : À CONSTRUIRE (parties 01 et 20).</w:t>
      </w:r>
    </w:p>
    <w:p w14:paraId="295AFF0F" w14:textId="77777777" w:rsidR="007953BF" w:rsidRDefault="007953BF">
      <w:pPr>
        <w:numPr>
          <w:ilvl w:val="0"/>
          <w:numId w:val="24"/>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Produire l'historique</w:t>
      </w:r>
      <w:r>
        <w:rPr>
          <w:rFonts w:ascii="Calibri" w:eastAsia="Times New Roman" w:hAnsi="Calibri" w:cs="Calibri"/>
          <w:color w:val="1B1A22"/>
          <w:sz w:val="21"/>
          <w:szCs w:val="21"/>
        </w:rPr>
        <w:t xml:space="preserve"> :</w:t>
      </w:r>
    </w:p>
    <w:p w14:paraId="22F7A237" w14:textId="77777777" w:rsidR="007953BF" w:rsidRDefault="007953BF">
      <w:pPr>
        <w:numPr>
          <w:ilvl w:val="1"/>
          <w:numId w:val="24"/>
        </w:numPr>
        <w:spacing w:after="40"/>
        <w:ind w:left="2160"/>
        <w:rPr>
          <w:rFonts w:ascii="Calibri" w:eastAsia="Times New Roman" w:hAnsi="Calibri" w:cs="Calibri"/>
          <w:color w:val="1B1A22"/>
          <w:sz w:val="21"/>
          <w:szCs w:val="21"/>
        </w:rPr>
      </w:pPr>
      <w:r>
        <w:rPr>
          <w:rFonts w:ascii="Calibri" w:eastAsia="Times New Roman" w:hAnsi="Calibri" w:cs="Calibri"/>
          <w:color w:val="1B1A22"/>
          <w:sz w:val="21"/>
          <w:szCs w:val="21"/>
        </w:rPr>
        <w:t>CONSTRUIT : en ligne (tickets, Z, clôtures, journal technique, vérification d'intégrité) ;</w:t>
      </w:r>
    </w:p>
    <w:p w14:paraId="1116E190" w14:textId="77777777" w:rsidR="007953BF" w:rsidRDefault="007953BF">
      <w:pPr>
        <w:numPr>
          <w:ilvl w:val="1"/>
          <w:numId w:val="24"/>
        </w:numPr>
        <w:spacing w:after="40"/>
        <w:ind w:left="2160"/>
        <w:rPr>
          <w:rFonts w:ascii="Calibri" w:eastAsia="Times New Roman" w:hAnsi="Calibri" w:cs="Calibri"/>
          <w:color w:val="1B1A22"/>
          <w:sz w:val="21"/>
          <w:szCs w:val="21"/>
        </w:rPr>
      </w:pPr>
      <w:r>
        <w:rPr>
          <w:rFonts w:ascii="Calibri" w:eastAsia="Times New Roman" w:hAnsi="Calibri" w:cs="Calibri"/>
          <w:color w:val="1B1A22"/>
          <w:sz w:val="21"/>
          <w:szCs w:val="21"/>
        </w:rPr>
        <w:t>À CONSTRUIRE : l'export d'une période en format ouvert et les archives d'exercice (partie 09).</w:t>
      </w:r>
    </w:p>
    <w:p w14:paraId="35D81307" w14:textId="77777777" w:rsidR="007953BF" w:rsidRDefault="007953BF">
      <w:pPr>
        <w:numPr>
          <w:ilvl w:val="0"/>
          <w:numId w:val="24"/>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Démontrer la continuité</w:t>
      </w:r>
      <w:r>
        <w:rPr>
          <w:rFonts w:ascii="Calibri" w:eastAsia="Times New Roman" w:hAnsi="Calibri" w:cs="Calibri"/>
          <w:color w:val="1B1A22"/>
          <w:sz w:val="21"/>
          <w:szCs w:val="21"/>
        </w:rPr>
        <w:t xml:space="preserve"> : le total perpétuel relie les clôtures. CONSTRUIT.</w:t>
      </w:r>
    </w:p>
    <w:p w14:paraId="3D5EB27C" w14:textId="77777777" w:rsidR="007953BF" w:rsidRDefault="007953BF">
      <w:pPr>
        <w:numPr>
          <w:ilvl w:val="0"/>
          <w:numId w:val="24"/>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Donner un accès en lecture seule</w:t>
      </w:r>
      <w:r>
        <w:rPr>
          <w:rFonts w:ascii="Calibri" w:eastAsia="Times New Roman" w:hAnsi="Calibri" w:cs="Calibri"/>
          <w:color w:val="1B1A22"/>
          <w:sz w:val="21"/>
          <w:szCs w:val="21"/>
        </w:rPr>
        <w:t xml:space="preserve"> au vérificateur sans prêter son compte : À CONSTRUIRE (partie 07).</w:t>
      </w:r>
    </w:p>
    <w:p w14:paraId="74F208B3"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C'est toujours le lieu qui donne l'accès, jamais l'éditeur</w:t>
      </w:r>
      <w:r>
        <w:rPr>
          <w:rFonts w:ascii="Calibri" w:hAnsi="Calibri" w:cs="Calibri"/>
          <w:color w:val="1B1A22"/>
          <w:sz w:val="21"/>
          <w:szCs w:val="21"/>
        </w:rPr>
        <w:t xml:space="preserve"> : Break Eat App n'a aucun accès aux données d'encaissement.</w:t>
      </w:r>
    </w:p>
    <w:p w14:paraId="0444AA13"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570B5801">
          <v:rect id="_x0000_i1051" style="width:0;height:1.5pt" o:hralign="center" o:hrstd="t" o:hr="t" fillcolor="#a0a0a0" stroked="f"/>
        </w:pict>
      </w:r>
    </w:p>
    <w:p w14:paraId="593D55DF" w14:textId="77777777" w:rsidR="007953BF" w:rsidRDefault="007953BF">
      <w:pPr>
        <w:pStyle w:val="Titre2"/>
        <w:rPr>
          <w:rFonts w:ascii="Calibri" w:eastAsia="Times New Roman" w:hAnsi="Calibri" w:cs="Calibri"/>
        </w:rPr>
      </w:pPr>
      <w:r>
        <w:rPr>
          <w:rFonts w:ascii="Calibri" w:eastAsia="Times New Roman" w:hAnsi="Calibri" w:cs="Calibri"/>
        </w:rPr>
        <w:t xml:space="preserve">26 — Obligations propres à l'éditeur </w:t>
      </w:r>
      <w:r>
        <w:rPr>
          <w:rStyle w:val="Accentuation"/>
          <w:rFonts w:ascii="Calibri" w:eastAsia="Times New Roman" w:hAnsi="Calibri" w:cs="Calibri"/>
        </w:rPr>
        <w:t>(ajouté)</w:t>
      </w:r>
    </w:p>
    <w:p w14:paraId="211423FB"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LPF art. L96 J</w:t>
      </w:r>
      <w:r>
        <w:rPr>
          <w:rFonts w:ascii="Calibri" w:hAnsi="Calibri" w:cs="Calibri"/>
          <w:color w:val="1B1A22"/>
          <w:sz w:val="21"/>
          <w:szCs w:val="21"/>
        </w:rPr>
        <w:t xml:space="preserve"> : l'éditeur conserve et communique sur demande </w:t>
      </w:r>
      <w:r>
        <w:rPr>
          <w:rStyle w:val="lev"/>
          <w:rFonts w:ascii="Calibri" w:hAnsi="Calibri" w:cs="Calibri"/>
          <w:color w:val="1B1A22"/>
          <w:sz w:val="21"/>
          <w:szCs w:val="21"/>
        </w:rPr>
        <w:t>le code, les traitements et la documentation</w:t>
      </w:r>
      <w:r>
        <w:rPr>
          <w:rFonts w:ascii="Calibri" w:hAnsi="Calibri" w:cs="Calibri"/>
          <w:color w:val="1B1A22"/>
          <w:sz w:val="21"/>
          <w:szCs w:val="21"/>
        </w:rPr>
        <w:t xml:space="preserve"> de chaque version, </w:t>
      </w:r>
      <w:r>
        <w:rPr>
          <w:rStyle w:val="lev"/>
          <w:rFonts w:ascii="Calibri" w:hAnsi="Calibri" w:cs="Calibri"/>
          <w:color w:val="1B1A22"/>
          <w:sz w:val="21"/>
          <w:szCs w:val="21"/>
        </w:rPr>
        <w:t>jusqu'à la fin de la troisième année suivant celle où la version a cessé d'être diffusée</w:t>
      </w:r>
      <w:r>
        <w:rPr>
          <w:rFonts w:ascii="Calibri" w:hAnsi="Calibri" w:cs="Calibri"/>
          <w:color w:val="1B1A22"/>
          <w:sz w:val="21"/>
          <w:szCs w:val="21"/>
        </w:rPr>
        <w:t>. Sanction : 1 500 € (CGI art. 1734).</w:t>
      </w:r>
    </w:p>
    <w:p w14:paraId="1CB5111A"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Construit</w:t>
      </w:r>
      <w:r>
        <w:rPr>
          <w:rFonts w:ascii="Calibri" w:hAnsi="Calibri" w:cs="Calibri"/>
          <w:color w:val="1B1A22"/>
          <w:sz w:val="21"/>
          <w:szCs w:val="21"/>
        </w:rPr>
        <w:t xml:space="preserve"> : dépôt Git privé (</w:t>
      </w:r>
      <w:r>
        <w:rPr>
          <w:rStyle w:val="CodeHTML"/>
        </w:rPr>
        <w:t>Break-Eat-APP/flaix-expert</w:t>
      </w:r>
      <w:r>
        <w:rPr>
          <w:rFonts w:ascii="Calibri" w:hAnsi="Calibri" w:cs="Calibri"/>
          <w:color w:val="1B1A22"/>
          <w:sz w:val="21"/>
          <w:szCs w:val="21"/>
        </w:rPr>
        <w:t>), historique complet, avec le dossier projet et ce dossier dans le dépôt.</w:t>
      </w:r>
    </w:p>
    <w:p w14:paraId="695DDFC5"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À mettre en place</w:t>
      </w:r>
      <w:r>
        <w:rPr>
          <w:rFonts w:ascii="Calibri" w:hAnsi="Calibri" w:cs="Calibri"/>
          <w:color w:val="1B1A22"/>
          <w:sz w:val="21"/>
          <w:szCs w:val="21"/>
        </w:rPr>
        <w:t xml:space="preserve"> : une </w:t>
      </w:r>
      <w:r>
        <w:rPr>
          <w:rStyle w:val="lev"/>
          <w:rFonts w:ascii="Calibri" w:hAnsi="Calibri" w:cs="Calibri"/>
          <w:color w:val="1B1A22"/>
          <w:sz w:val="21"/>
          <w:szCs w:val="21"/>
        </w:rPr>
        <w:t>étiquette Git par version</w:t>
      </w:r>
      <w:r>
        <w:rPr>
          <w:rFonts w:ascii="Calibri" w:hAnsi="Calibri" w:cs="Calibri"/>
          <w:color w:val="1B1A22"/>
          <w:sz w:val="21"/>
          <w:szCs w:val="21"/>
        </w:rPr>
        <w:t xml:space="preserve"> mise en service (inscrite au registre), et une </w:t>
      </w:r>
      <w:r>
        <w:rPr>
          <w:rStyle w:val="lev"/>
          <w:rFonts w:ascii="Calibri" w:hAnsi="Calibri" w:cs="Calibri"/>
          <w:color w:val="1B1A22"/>
          <w:sz w:val="21"/>
          <w:szCs w:val="21"/>
        </w:rPr>
        <w:t>copie du dépôt hors de GitHub</w:t>
      </w:r>
      <w:r>
        <w:rPr>
          <w:rFonts w:ascii="Calibri" w:hAnsi="Calibri" w:cs="Calibri"/>
          <w:color w:val="1B1A22"/>
          <w:sz w:val="21"/>
          <w:szCs w:val="21"/>
        </w:rPr>
        <w:t xml:space="preserve"> (par exemple avec la copie chiffrée des sauvegardes).</w:t>
      </w:r>
    </w:p>
    <w:p w14:paraId="515E73CA"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Qualité d'éditeur</w:t>
      </w:r>
      <w:r>
        <w:rPr>
          <w:rFonts w:ascii="Calibri" w:hAnsi="Calibri" w:cs="Calibri"/>
          <w:color w:val="1B1A22"/>
          <w:sz w:val="21"/>
          <w:szCs w:val="21"/>
        </w:rPr>
        <w:t xml:space="preserve"> : Break Eat App détient le code et maîtrise ses modifications (BOFiP §300). Aucun prestataire ne détient le code (décision de Rémi, §15.10). Tout développeur extérieur qui interviendrait sur la caisse devra céder ses droits par contrat.</w:t>
      </w:r>
    </w:p>
    <w:p w14:paraId="2F8CE373"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693C0084">
          <v:rect id="_x0000_i1052" style="width:0;height:1.5pt" o:hralign="center" o:hrstd="t" o:hr="t" fillcolor="#a0a0a0" stroked="f"/>
        </w:pict>
      </w:r>
    </w:p>
    <w:p w14:paraId="4AFE8F2A" w14:textId="77777777" w:rsidR="007953BF" w:rsidRDefault="007953BF">
      <w:pPr>
        <w:pStyle w:val="Titre2"/>
        <w:rPr>
          <w:rFonts w:ascii="Calibri" w:eastAsia="Times New Roman" w:hAnsi="Calibri" w:cs="Calibri"/>
        </w:rPr>
      </w:pPr>
      <w:r>
        <w:rPr>
          <w:rFonts w:ascii="Calibri" w:eastAsia="Times New Roman" w:hAnsi="Calibri" w:cs="Calibri"/>
        </w:rPr>
        <w:t xml:space="preserve">27 — Évolution prévue : TPE Android avec prestataire de paiement </w:t>
      </w:r>
      <w:r>
        <w:rPr>
          <w:rStyle w:val="Accentuation"/>
          <w:rFonts w:ascii="Calibri" w:eastAsia="Times New Roman" w:hAnsi="Calibri" w:cs="Calibri"/>
        </w:rPr>
        <w:t>(ajouté)</w:t>
      </w:r>
    </w:p>
    <w:p w14:paraId="22C716AD"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Annoncé par Rémi le 2026-10-03</w:t>
      </w:r>
      <w:r>
        <w:rPr>
          <w:rFonts w:ascii="Calibri" w:hAnsi="Calibri" w:cs="Calibri"/>
          <w:color w:val="1B1A22"/>
          <w:sz w:val="21"/>
          <w:szCs w:val="21"/>
        </w:rPr>
        <w:t xml:space="preserve"> : </w:t>
      </w:r>
      <w:r>
        <w:rPr>
          <w:rStyle w:val="Accentuation"/>
          <w:rFonts w:ascii="Calibri" w:hAnsi="Calibri" w:cs="Calibri"/>
          <w:color w:val="1B1A22"/>
          <w:sz w:val="21"/>
          <w:szCs w:val="21"/>
        </w:rPr>
        <w:t>« il se peut que le logiciel évolue de façon à faire des tickets et ne pas encaisser directement sur nos TPE à nous ; il se peut que demain je développe nos propres TPE Android qui encaisseront toujours avec un PSP style Stripe. »</w:t>
      </w:r>
    </w:p>
    <w:p w14:paraId="4ABDAB36" w14:textId="77777777" w:rsidR="007953BF" w:rsidRDefault="007953BF">
      <w:pPr>
        <w:pStyle w:val="NormalWeb"/>
        <w:rPr>
          <w:rFonts w:ascii="Calibri" w:hAnsi="Calibri" w:cs="Calibri"/>
          <w:color w:val="1B1A22"/>
          <w:sz w:val="21"/>
          <w:szCs w:val="21"/>
        </w:rPr>
      </w:pPr>
      <w:r>
        <w:rPr>
          <w:rStyle w:val="lev"/>
          <w:rFonts w:ascii="Calibri" w:hAnsi="Calibri" w:cs="Calibri"/>
          <w:color w:val="1B1A22"/>
          <w:sz w:val="21"/>
          <w:szCs w:val="21"/>
        </w:rPr>
        <w:t>Ce que cela changera</w:t>
      </w:r>
      <w:r>
        <w:rPr>
          <w:rFonts w:ascii="Calibri" w:hAnsi="Calibri" w:cs="Calibri"/>
          <w:color w:val="1B1A22"/>
          <w:sz w:val="21"/>
          <w:szCs w:val="21"/>
        </w:rPr>
        <w:t xml:space="preserve"> (préparé au §15.17, plan de tests E du §15.19) :</w:t>
      </w:r>
    </w:p>
    <w:p w14:paraId="695E1194" w14:textId="77777777" w:rsidR="007953BF" w:rsidRDefault="007953BF">
      <w:pPr>
        <w:numPr>
          <w:ilvl w:val="0"/>
          <w:numId w:val="2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Version majeure</w:t>
      </w:r>
      <w:r>
        <w:rPr>
          <w:rFonts w:ascii="Calibri" w:eastAsia="Times New Roman" w:hAnsi="Calibri" w:cs="Calibri"/>
          <w:color w:val="1B1A22"/>
          <w:sz w:val="21"/>
          <w:szCs w:val="21"/>
        </w:rPr>
        <w:t xml:space="preserve"> : nouvelle attestation pour chaque lieu.</w:t>
      </w:r>
    </w:p>
    <w:p w14:paraId="58D5483C" w14:textId="77777777" w:rsidR="007953BF" w:rsidRDefault="007953BF">
      <w:pPr>
        <w:numPr>
          <w:ilvl w:val="0"/>
          <w:numId w:val="25"/>
        </w:numPr>
        <w:spacing w:after="40"/>
        <w:ind w:left="1080"/>
        <w:rPr>
          <w:rFonts w:ascii="Calibri" w:eastAsia="Times New Roman" w:hAnsi="Calibri" w:cs="Calibri"/>
          <w:color w:val="1B1A22"/>
          <w:sz w:val="21"/>
          <w:szCs w:val="21"/>
        </w:rPr>
      </w:pPr>
      <w:r>
        <w:rPr>
          <w:rFonts w:ascii="Calibri" w:eastAsia="Times New Roman" w:hAnsi="Calibri" w:cs="Calibri"/>
          <w:color w:val="1B1A22"/>
          <w:sz w:val="21"/>
          <w:szCs w:val="21"/>
        </w:rPr>
        <w:t xml:space="preserve">Le paiement carte devient </w:t>
      </w:r>
      <w:r>
        <w:rPr>
          <w:rStyle w:val="lev"/>
          <w:rFonts w:ascii="Calibri" w:eastAsia="Times New Roman" w:hAnsi="Calibri" w:cs="Calibri"/>
          <w:color w:val="1B1A22"/>
          <w:sz w:val="21"/>
          <w:szCs w:val="21"/>
        </w:rPr>
        <w:t>constaté</w:t>
      </w:r>
      <w:r>
        <w:rPr>
          <w:rFonts w:ascii="Calibri" w:eastAsia="Times New Roman" w:hAnsi="Calibri" w:cs="Calibri"/>
          <w:color w:val="1B1A22"/>
          <w:sz w:val="21"/>
          <w:szCs w:val="21"/>
        </w:rPr>
        <w:t xml:space="preserve"> (confirmation du prestataire) au lieu d'être déclaré, ce qui fait disparaître la principale limite de la partie 28.</w:t>
      </w:r>
    </w:p>
    <w:p w14:paraId="09410E1A" w14:textId="77777777" w:rsidR="007953BF" w:rsidRDefault="007953BF">
      <w:pPr>
        <w:numPr>
          <w:ilvl w:val="0"/>
          <w:numId w:val="2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Nouvelles données</w:t>
      </w:r>
      <w:r>
        <w:rPr>
          <w:rFonts w:ascii="Calibri" w:eastAsia="Times New Roman" w:hAnsi="Calibri" w:cs="Calibri"/>
          <w:color w:val="1B1A22"/>
          <w:sz w:val="21"/>
          <w:szCs w:val="21"/>
        </w:rPr>
        <w:t xml:space="preserve"> dans chaque vente : prestataire, </w:t>
      </w:r>
      <w:r>
        <w:rPr>
          <w:rStyle w:val="lev"/>
          <w:rFonts w:ascii="Calibri" w:eastAsia="Times New Roman" w:hAnsi="Calibri" w:cs="Calibri"/>
          <w:color w:val="1B1A22"/>
          <w:sz w:val="21"/>
          <w:szCs w:val="21"/>
        </w:rPr>
        <w:t>référence de transaction</w:t>
      </w:r>
      <w:r>
        <w:rPr>
          <w:rFonts w:ascii="Calibri" w:eastAsia="Times New Roman" w:hAnsi="Calibri" w:cs="Calibri"/>
          <w:color w:val="1B1A22"/>
          <w:sz w:val="21"/>
          <w:szCs w:val="21"/>
        </w:rPr>
        <w:t xml:space="preserve">, statut (autorisé, capturé, refusé, annulé, remboursé), montants. </w:t>
      </w:r>
      <w:r>
        <w:rPr>
          <w:rStyle w:val="lev"/>
          <w:rFonts w:ascii="Calibri" w:eastAsia="Times New Roman" w:hAnsi="Calibri" w:cs="Calibri"/>
          <w:color w:val="1B1A22"/>
          <w:sz w:val="21"/>
          <w:szCs w:val="21"/>
        </w:rPr>
        <w:t>Aucune donnée de carte</w:t>
      </w:r>
      <w:r>
        <w:rPr>
          <w:rFonts w:ascii="Calibri" w:eastAsia="Times New Roman" w:hAnsi="Calibri" w:cs="Calibri"/>
          <w:color w:val="1B1A22"/>
          <w:sz w:val="21"/>
          <w:szCs w:val="21"/>
        </w:rPr>
        <w:t xml:space="preserve"> dans FlaiX Expert.</w:t>
      </w:r>
    </w:p>
    <w:p w14:paraId="1FC6A8EE" w14:textId="77777777" w:rsidR="007953BF" w:rsidRDefault="007953BF">
      <w:pPr>
        <w:numPr>
          <w:ilvl w:val="0"/>
          <w:numId w:val="2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Nouvelles opérations</w:t>
      </w:r>
      <w:r>
        <w:rPr>
          <w:rFonts w:ascii="Calibri" w:eastAsia="Times New Roman" w:hAnsi="Calibri" w:cs="Calibri"/>
          <w:color w:val="1B1A22"/>
          <w:sz w:val="21"/>
          <w:szCs w:val="21"/>
        </w:rPr>
        <w:t xml:space="preserve"> : paiement refusé (enregistré, sans recette), paiement annulé, </w:t>
      </w:r>
      <w:r>
        <w:rPr>
          <w:rStyle w:val="lev"/>
          <w:rFonts w:ascii="Calibri" w:eastAsia="Times New Roman" w:hAnsi="Calibri" w:cs="Calibri"/>
          <w:color w:val="1B1A22"/>
          <w:sz w:val="21"/>
          <w:szCs w:val="21"/>
        </w:rPr>
        <w:t>remboursement total ou partiel</w:t>
      </w:r>
      <w:r>
        <w:rPr>
          <w:rFonts w:ascii="Calibri" w:eastAsia="Times New Roman" w:hAnsi="Calibri" w:cs="Calibri"/>
          <w:color w:val="1B1A22"/>
          <w:sz w:val="21"/>
          <w:szCs w:val="21"/>
        </w:rPr>
        <w:t xml:space="preserve"> rattaché au ticket d'origine, ticket réglé en deux moyens.</w:t>
      </w:r>
    </w:p>
    <w:p w14:paraId="234B6FC1" w14:textId="77777777" w:rsidR="007953BF" w:rsidRDefault="007953BF">
      <w:pPr>
        <w:numPr>
          <w:ilvl w:val="0"/>
          <w:numId w:val="2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Nouveau contrôle</w:t>
      </w:r>
      <w:r>
        <w:rPr>
          <w:rFonts w:ascii="Calibri" w:eastAsia="Times New Roman" w:hAnsi="Calibri" w:cs="Calibri"/>
          <w:color w:val="1B1A22"/>
          <w:sz w:val="21"/>
          <w:szCs w:val="21"/>
        </w:rPr>
        <w:t xml:space="preserve"> : rapprochement quotidien entre les paiements carte du journal et les captures du prestataire ; tout écart affiché.</w:t>
      </w:r>
    </w:p>
    <w:p w14:paraId="200B08EC" w14:textId="77777777" w:rsidR="007953BF" w:rsidRDefault="007953BF">
      <w:pPr>
        <w:numPr>
          <w:ilvl w:val="0"/>
          <w:numId w:val="2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Le compte du prestataire est celui du lieu</w:t>
      </w:r>
      <w:r>
        <w:rPr>
          <w:rFonts w:ascii="Calibri" w:eastAsia="Times New Roman" w:hAnsi="Calibri" w:cs="Calibri"/>
          <w:color w:val="1B1A22"/>
          <w:sz w:val="21"/>
          <w:szCs w:val="21"/>
        </w:rPr>
        <w:t xml:space="preserve"> (décision du 2026-09-11) : les fonds ne passent jamais par Break Eat App, ce qui écarte la question de l'agrément de l'ACPR. </w:t>
      </w:r>
      <w:r>
        <w:rPr>
          <w:rStyle w:val="lev"/>
          <w:rFonts w:ascii="Calibri" w:eastAsia="Times New Roman" w:hAnsi="Calibri" w:cs="Calibri"/>
          <w:color w:val="1B1A22"/>
          <w:sz w:val="21"/>
          <w:szCs w:val="21"/>
        </w:rPr>
        <w:t>À garder comme règle</w:t>
      </w:r>
      <w:r>
        <w:rPr>
          <w:rFonts w:ascii="Calibri" w:eastAsia="Times New Roman" w:hAnsi="Calibri" w:cs="Calibri"/>
          <w:color w:val="1B1A22"/>
          <w:sz w:val="21"/>
          <w:szCs w:val="21"/>
        </w:rPr>
        <w:t xml:space="preserve"> : le jour où un euro transiterait par un compte de Break Eat App, la question se reposerait.</w:t>
      </w:r>
    </w:p>
    <w:p w14:paraId="6261F5FD" w14:textId="77777777" w:rsidR="007953BF" w:rsidRDefault="007953BF">
      <w:pPr>
        <w:numPr>
          <w:ilvl w:val="0"/>
          <w:numId w:val="2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Clés d'accès restreintes</w:t>
      </w:r>
      <w:r>
        <w:rPr>
          <w:rFonts w:ascii="Calibri" w:eastAsia="Times New Roman" w:hAnsi="Calibri" w:cs="Calibri"/>
          <w:color w:val="1B1A22"/>
          <w:sz w:val="21"/>
          <w:szCs w:val="21"/>
        </w:rPr>
        <w:t xml:space="preserve"> au strict nécessaire (terminal, lecture des transactions), chiffrées, révocables par le lieu.</w:t>
      </w:r>
    </w:p>
    <w:p w14:paraId="6326C3D9" w14:textId="77777777" w:rsidR="007953BF" w:rsidRDefault="007953BF">
      <w:pPr>
        <w:numPr>
          <w:ilvl w:val="0"/>
          <w:numId w:val="2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Sécurité des cartes (PCI DSS)</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le questionnaire annuel incombe au lieu, commerçant ; il change selon l'intégration (à annoncer au lieu avant la vente du TPE).</w:t>
      </w:r>
    </w:p>
    <w:p w14:paraId="61344CF9" w14:textId="77777777" w:rsidR="007953BF" w:rsidRDefault="007953BF">
      <w:pPr>
        <w:numPr>
          <w:ilvl w:val="0"/>
          <w:numId w:val="25"/>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Questions à reposer</w:t>
      </w:r>
      <w:r>
        <w:rPr>
          <w:rFonts w:ascii="Calibri" w:eastAsia="Times New Roman" w:hAnsi="Calibri" w:cs="Calibri"/>
          <w:color w:val="1B1A22"/>
          <w:sz w:val="21"/>
          <w:szCs w:val="21"/>
        </w:rPr>
        <w:t xml:space="preserve"> : à l'expert-comptable, la partie A (cas d'un lieu tout par carte via un prestataire) ; à Stripe ou au prestataire choisi, la qualification de l'éditeur dans le périmètre PCI.</w:t>
      </w:r>
    </w:p>
    <w:p w14:paraId="2E79D0F0" w14:textId="77777777" w:rsidR="007953BF" w:rsidRDefault="007953BF">
      <w:pPr>
        <w:spacing w:before="200" w:after="200"/>
        <w:rPr>
          <w:rFonts w:ascii="Calibri" w:eastAsia="Times New Roman" w:hAnsi="Calibri" w:cs="Calibri"/>
          <w:color w:val="1B1A22"/>
          <w:sz w:val="21"/>
          <w:szCs w:val="21"/>
        </w:rPr>
      </w:pPr>
      <w:r>
        <w:rPr>
          <w:rFonts w:ascii="Calibri" w:eastAsia="Times New Roman" w:hAnsi="Calibri" w:cs="Calibri"/>
          <w:color w:val="1B1A22"/>
          <w:sz w:val="21"/>
          <w:szCs w:val="21"/>
        </w:rPr>
        <w:pict w14:anchorId="3DECC635">
          <v:rect id="_x0000_i1053" style="width:0;height:1.5pt" o:hralign="center" o:hrstd="t" o:hr="t" fillcolor="#a0a0a0" stroked="f"/>
        </w:pict>
      </w:r>
    </w:p>
    <w:p w14:paraId="125150EC" w14:textId="77777777" w:rsidR="007953BF" w:rsidRDefault="007953BF">
      <w:pPr>
        <w:pStyle w:val="Titre2"/>
        <w:rPr>
          <w:rFonts w:ascii="Calibri" w:eastAsia="Times New Roman" w:hAnsi="Calibri" w:cs="Calibri"/>
        </w:rPr>
      </w:pPr>
      <w:r>
        <w:rPr>
          <w:rFonts w:ascii="Calibri" w:eastAsia="Times New Roman" w:hAnsi="Calibri" w:cs="Calibri"/>
        </w:rPr>
        <w:t xml:space="preserve">28 — Limites assumées </w:t>
      </w:r>
      <w:r>
        <w:rPr>
          <w:rStyle w:val="Accentuation"/>
          <w:rFonts w:ascii="Calibri" w:eastAsia="Times New Roman" w:hAnsi="Calibri" w:cs="Calibri"/>
        </w:rPr>
        <w:t>(ajouté)</w:t>
      </w:r>
    </w:p>
    <w:p w14:paraId="549A1705" w14:textId="77777777" w:rsidR="007953BF" w:rsidRDefault="007953BF">
      <w:pPr>
        <w:pStyle w:val="NormalWeb"/>
        <w:rPr>
          <w:rFonts w:ascii="Calibri" w:hAnsi="Calibri" w:cs="Calibri"/>
          <w:color w:val="1B1A22"/>
          <w:sz w:val="21"/>
          <w:szCs w:val="21"/>
        </w:rPr>
      </w:pPr>
      <w:r>
        <w:rPr>
          <w:rStyle w:val="Accentuation"/>
          <w:rFonts w:ascii="Calibri" w:hAnsi="Calibri" w:cs="Calibri"/>
          <w:color w:val="1B1A22"/>
          <w:sz w:val="21"/>
          <w:szCs w:val="21"/>
        </w:rPr>
        <w:t>Une limite écrite est défendable ; une limite tue ne l'est pas</w:t>
      </w:r>
      <w:r>
        <w:rPr>
          <w:rFonts w:ascii="Calibri" w:hAnsi="Calibri" w:cs="Calibri"/>
          <w:color w:val="1B1A22"/>
          <w:sz w:val="21"/>
          <w:szCs w:val="21"/>
        </w:rPr>
        <w:t xml:space="preserve"> (§15.14).</w:t>
      </w:r>
    </w:p>
    <w:p w14:paraId="3671F7E1" w14:textId="77777777" w:rsidR="007953BF" w:rsidRDefault="007953BF">
      <w:pPr>
        <w:numPr>
          <w:ilvl w:val="0"/>
          <w:numId w:val="26"/>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Montant carte déclaré, non vérifié</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le TPE n'est pas relié ; une caissière peut déclarer « carte » une vente payée en espèces. Contrôle : rapprochement du Z avec les remises bancaires du TPE, par le lieu. Disparaît avec la partie 27.</w:t>
      </w:r>
    </w:p>
    <w:p w14:paraId="4D3F3D24" w14:textId="77777777" w:rsidR="007953BF" w:rsidRDefault="007953BF">
      <w:pPr>
        <w:numPr>
          <w:ilvl w:val="0"/>
          <w:numId w:val="26"/>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Chaînage sans signature par clé privée</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il détecte toute altération par un tiers, mais quelqu'un qui détient le code et l'accès complet à la base pourrait recalculer une chaîne. Admis par le BOFiP §140. Une signature par une clé gardée hors de la base supprimerait cette limite (version majeure, décision de Rémi).</w:t>
      </w:r>
    </w:p>
    <w:p w14:paraId="0E197615" w14:textId="77777777" w:rsidR="007953BF" w:rsidRDefault="007953BF">
      <w:pPr>
        <w:numPr>
          <w:ilvl w:val="0"/>
          <w:numId w:val="26"/>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Tablette perdue avant l'envoi de ses ventes hors ligne</w:t>
      </w:r>
      <w:r>
        <w:rPr>
          <w:rFonts w:ascii="Calibri" w:eastAsia="Times New Roman" w:hAnsi="Calibri" w:cs="Calibri"/>
          <w:color w:val="1B1A22"/>
          <w:sz w:val="21"/>
          <w:szCs w:val="21"/>
        </w:rPr>
        <w:t xml:space="preserve"> : les ventes non envoyées sont perdues. La clôture révèle le trou mais ne le comble pas (partie 21).</w:t>
      </w:r>
    </w:p>
    <w:p w14:paraId="01D3BB9B" w14:textId="77777777" w:rsidR="007953BF" w:rsidRDefault="007953BF">
      <w:pPr>
        <w:numPr>
          <w:ilvl w:val="0"/>
          <w:numId w:val="26"/>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Copie hors serveur pas encore réglée</w:t>
      </w:r>
      <w:r>
        <w:rPr>
          <w:rFonts w:ascii="Calibri" w:eastAsia="Times New Roman" w:hAnsi="Calibri" w:cs="Calibri"/>
          <w:color w:val="1B1A22"/>
          <w:sz w:val="21"/>
          <w:szCs w:val="21"/>
        </w:rPr>
        <w:t xml:space="preserve"> </w:t>
      </w:r>
      <w:r>
        <w:rPr>
          <w:rFonts w:ascii="Calibri" w:eastAsia="Times New Roman" w:hAnsi="Calibri" w:cs="Calibri"/>
          <w:color w:val="1B1A22"/>
          <w:sz w:val="21"/>
          <w:szCs w:val="21"/>
        </w:rPr>
        <w:t>: tant que le stockage OVH n'est pas en place, une destruction du serveur ferait perdre les données (partie 16).</w:t>
      </w:r>
    </w:p>
    <w:p w14:paraId="32D0D0B9" w14:textId="77777777" w:rsidR="007953BF" w:rsidRDefault="007953BF">
      <w:pPr>
        <w:numPr>
          <w:ilvl w:val="0"/>
          <w:numId w:val="26"/>
        </w:numPr>
        <w:spacing w:after="40"/>
        <w:ind w:left="1080"/>
        <w:rPr>
          <w:rFonts w:ascii="Calibri" w:eastAsia="Times New Roman" w:hAnsi="Calibri" w:cs="Calibri"/>
          <w:color w:val="1B1A22"/>
          <w:sz w:val="21"/>
          <w:szCs w:val="21"/>
        </w:rPr>
      </w:pPr>
      <w:r>
        <w:rPr>
          <w:rStyle w:val="lev"/>
          <w:rFonts w:ascii="Calibri" w:eastAsia="Times New Roman" w:hAnsi="Calibri" w:cs="Calibri"/>
          <w:color w:val="1B1A22"/>
          <w:sz w:val="21"/>
          <w:szCs w:val="21"/>
        </w:rPr>
        <w:t>Archivage annuel, attestation, registre des versions et compte vérificateur pas encore construits</w:t>
      </w:r>
      <w:r>
        <w:rPr>
          <w:rFonts w:ascii="Calibri" w:eastAsia="Times New Roman" w:hAnsi="Calibri" w:cs="Calibri"/>
          <w:color w:val="1B1A22"/>
          <w:sz w:val="21"/>
          <w:szCs w:val="21"/>
        </w:rPr>
        <w:t xml:space="preserve"> : ils sont la condition du passage en production.</w:t>
      </w:r>
    </w:p>
    <w:sectPr w:rsidR="007953BF" w:rsidSect="003C12AA">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049F1" w14:textId="77777777" w:rsidR="007953BF" w:rsidRDefault="007953BF" w:rsidP="003C12AA">
      <w:r>
        <w:separator/>
      </w:r>
    </w:p>
  </w:endnote>
  <w:endnote w:type="continuationSeparator" w:id="0">
    <w:p w14:paraId="2873C541" w14:textId="77777777" w:rsidR="007953BF" w:rsidRDefault="007953BF" w:rsidP="003C1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6E1D" w14:textId="77777777" w:rsidR="003C12AA" w:rsidRDefault="003C12AA" w:rsidP="0051308C">
    <w:pPr>
      <w:pStyle w:val="Pieddepage"/>
      <w:framePr w:wrap="around"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p w14:paraId="56D37CE8" w14:textId="77777777" w:rsidR="003C12AA" w:rsidRDefault="003C12AA" w:rsidP="003C12A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3542" w14:textId="69EA2660" w:rsidR="003C12AA" w:rsidRDefault="003C12AA" w:rsidP="0051308C">
    <w:pPr>
      <w:pStyle w:val="Pieddepage"/>
      <w:framePr w:wrap="around"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p w14:paraId="616FA1A7" w14:textId="77777777" w:rsidR="003C12AA" w:rsidRDefault="003C12AA" w:rsidP="003C12AA">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42DC" w14:textId="77777777" w:rsidR="003C12AA" w:rsidRDefault="003C12A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55769" w14:textId="77777777" w:rsidR="007953BF" w:rsidRDefault="007953BF" w:rsidP="003C12AA">
      <w:r>
        <w:separator/>
      </w:r>
    </w:p>
  </w:footnote>
  <w:footnote w:type="continuationSeparator" w:id="0">
    <w:p w14:paraId="55E39C71" w14:textId="77777777" w:rsidR="007953BF" w:rsidRDefault="007953BF" w:rsidP="003C1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7735" w14:textId="77777777" w:rsidR="003C12AA" w:rsidRDefault="003C12A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D694" w14:textId="56CF2563" w:rsidR="003C12AA" w:rsidRPr="003C12AA" w:rsidRDefault="003C12AA">
    <w:pPr>
      <w:pStyle w:val="En-tte"/>
      <w:rPr>
        <w:color w:val="808080"/>
        <w:sz w:val="16"/>
      </w:rPr>
    </w:pPr>
    <w:r w:rsidRPr="003C12AA">
      <w:rPr>
        <w:color w:val="808080"/>
        <w:sz w:val="16"/>
      </w:rPr>
      <w:t>FlaiX Expert - Dossier de conformite du systeme de caisse - v0.1 du 2026-10-03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2AB5" w14:textId="77777777" w:rsidR="003C12AA" w:rsidRDefault="003C12A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0E6"/>
    <w:multiLevelType w:val="multilevel"/>
    <w:tmpl w:val="E97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540"/>
    <w:multiLevelType w:val="multilevel"/>
    <w:tmpl w:val="86D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64DCE"/>
    <w:multiLevelType w:val="multilevel"/>
    <w:tmpl w:val="2D36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E12DB"/>
    <w:multiLevelType w:val="multilevel"/>
    <w:tmpl w:val="1172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5C67"/>
    <w:multiLevelType w:val="multilevel"/>
    <w:tmpl w:val="6300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416DF"/>
    <w:multiLevelType w:val="multilevel"/>
    <w:tmpl w:val="5C66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E39C2"/>
    <w:multiLevelType w:val="multilevel"/>
    <w:tmpl w:val="3278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D56A8"/>
    <w:multiLevelType w:val="multilevel"/>
    <w:tmpl w:val="5CB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85ABC"/>
    <w:multiLevelType w:val="multilevel"/>
    <w:tmpl w:val="3DC0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042F4"/>
    <w:multiLevelType w:val="multilevel"/>
    <w:tmpl w:val="74B4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039C0"/>
    <w:multiLevelType w:val="multilevel"/>
    <w:tmpl w:val="789A3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8E1638"/>
    <w:multiLevelType w:val="multilevel"/>
    <w:tmpl w:val="14D8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7210A"/>
    <w:multiLevelType w:val="multilevel"/>
    <w:tmpl w:val="824E5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BE1C6E"/>
    <w:multiLevelType w:val="multilevel"/>
    <w:tmpl w:val="D34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B18FC"/>
    <w:multiLevelType w:val="multilevel"/>
    <w:tmpl w:val="4BF8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E4062"/>
    <w:multiLevelType w:val="multilevel"/>
    <w:tmpl w:val="CD8E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76F8B"/>
    <w:multiLevelType w:val="multilevel"/>
    <w:tmpl w:val="0CEC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8548E"/>
    <w:multiLevelType w:val="multilevel"/>
    <w:tmpl w:val="2B4E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46A12"/>
    <w:multiLevelType w:val="multilevel"/>
    <w:tmpl w:val="00B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377A2"/>
    <w:multiLevelType w:val="multilevel"/>
    <w:tmpl w:val="C37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71801"/>
    <w:multiLevelType w:val="multilevel"/>
    <w:tmpl w:val="1A5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A644B"/>
    <w:multiLevelType w:val="multilevel"/>
    <w:tmpl w:val="9C9C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C6728"/>
    <w:multiLevelType w:val="multilevel"/>
    <w:tmpl w:val="91B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E56D1"/>
    <w:multiLevelType w:val="multilevel"/>
    <w:tmpl w:val="C2FC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F26AE"/>
    <w:multiLevelType w:val="multilevel"/>
    <w:tmpl w:val="1B86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F6CAE"/>
    <w:multiLevelType w:val="multilevel"/>
    <w:tmpl w:val="51E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042322">
    <w:abstractNumId w:val="15"/>
  </w:num>
  <w:num w:numId="2" w16cid:durableId="1762991425">
    <w:abstractNumId w:val="2"/>
  </w:num>
  <w:num w:numId="3" w16cid:durableId="1201091066">
    <w:abstractNumId w:val="4"/>
  </w:num>
  <w:num w:numId="4" w16cid:durableId="1262953574">
    <w:abstractNumId w:val="1"/>
  </w:num>
  <w:num w:numId="5" w16cid:durableId="1348411384">
    <w:abstractNumId w:val="3"/>
  </w:num>
  <w:num w:numId="6" w16cid:durableId="16395718">
    <w:abstractNumId w:val="8"/>
  </w:num>
  <w:num w:numId="7" w16cid:durableId="1484662504">
    <w:abstractNumId w:val="9"/>
  </w:num>
  <w:num w:numId="8" w16cid:durableId="783616276">
    <w:abstractNumId w:val="19"/>
  </w:num>
  <w:num w:numId="9" w16cid:durableId="1880628287">
    <w:abstractNumId w:val="23"/>
  </w:num>
  <w:num w:numId="10" w16cid:durableId="16857384">
    <w:abstractNumId w:val="16"/>
  </w:num>
  <w:num w:numId="11" w16cid:durableId="702023445">
    <w:abstractNumId w:val="25"/>
  </w:num>
  <w:num w:numId="12" w16cid:durableId="1192767259">
    <w:abstractNumId w:val="21"/>
  </w:num>
  <w:num w:numId="13" w16cid:durableId="1700625196">
    <w:abstractNumId w:val="11"/>
  </w:num>
  <w:num w:numId="14" w16cid:durableId="3559001">
    <w:abstractNumId w:val="5"/>
  </w:num>
  <w:num w:numId="15" w16cid:durableId="2092895226">
    <w:abstractNumId w:val="0"/>
  </w:num>
  <w:num w:numId="16" w16cid:durableId="417874411">
    <w:abstractNumId w:val="7"/>
  </w:num>
  <w:num w:numId="17" w16cid:durableId="699667632">
    <w:abstractNumId w:val="6"/>
  </w:num>
  <w:num w:numId="18" w16cid:durableId="149836697">
    <w:abstractNumId w:val="22"/>
  </w:num>
  <w:num w:numId="19" w16cid:durableId="947469485">
    <w:abstractNumId w:val="20"/>
  </w:num>
  <w:num w:numId="20" w16cid:durableId="1177185122">
    <w:abstractNumId w:val="17"/>
  </w:num>
  <w:num w:numId="21" w16cid:durableId="1509522278">
    <w:abstractNumId w:val="24"/>
  </w:num>
  <w:num w:numId="22" w16cid:durableId="1469279194">
    <w:abstractNumId w:val="14"/>
  </w:num>
  <w:num w:numId="23" w16cid:durableId="143471760">
    <w:abstractNumId w:val="18"/>
  </w:num>
  <w:num w:numId="24" w16cid:durableId="1848327423">
    <w:abstractNumId w:val="12"/>
  </w:num>
  <w:num w:numId="25" w16cid:durableId="1112867153">
    <w:abstractNumId w:val="13"/>
  </w:num>
  <w:num w:numId="26" w16cid:durableId="16353333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12AA"/>
    <w:rsid w:val="00074DA1"/>
    <w:rsid w:val="003C12AA"/>
    <w:rsid w:val="007953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F9022"/>
  <w15:chartTrackingRefBased/>
  <w15:docId w15:val="{04F6BBB9-7F15-4E6F-B1AF-CB6969B6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after="160"/>
      <w:outlineLvl w:val="0"/>
    </w:pPr>
    <w:rPr>
      <w:b/>
      <w:bCs/>
      <w:color w:val="4D04F4"/>
      <w:kern w:val="36"/>
      <w:sz w:val="40"/>
      <w:szCs w:val="40"/>
    </w:rPr>
  </w:style>
  <w:style w:type="paragraph" w:styleId="Titre2">
    <w:name w:val="heading 2"/>
    <w:basedOn w:val="Normal"/>
    <w:link w:val="Titre2Car"/>
    <w:uiPriority w:val="9"/>
    <w:qFormat/>
    <w:pPr>
      <w:pBdr>
        <w:bottom w:val="single" w:sz="8" w:space="2" w:color="D9D3F7"/>
      </w:pBdr>
      <w:spacing w:before="360" w:after="120"/>
      <w:outlineLvl w:val="1"/>
    </w:pPr>
    <w:rPr>
      <w:b/>
      <w:bCs/>
      <w:color w:val="4D04F4"/>
      <w:sz w:val="28"/>
      <w:szCs w:val="28"/>
    </w:rPr>
  </w:style>
  <w:style w:type="paragraph" w:styleId="Titre3">
    <w:name w:val="heading 3"/>
    <w:basedOn w:val="Normal"/>
    <w:link w:val="Titre3Car"/>
    <w:uiPriority w:val="9"/>
    <w:qFormat/>
    <w:pPr>
      <w:spacing w:before="240" w:after="80"/>
      <w:outlineLvl w:val="2"/>
    </w:pPr>
    <w:rPr>
      <w:b/>
      <w:bCs/>
      <w:color w:val="2B25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color w:val="3B2F8F"/>
      <w:sz w:val="18"/>
      <w:szCs w:val="18"/>
    </w:r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encadre">
    <w:name w:val="encadre"/>
    <w:basedOn w:val="Normal"/>
    <w:pPr>
      <w:pBdr>
        <w:left w:val="single" w:sz="24" w:space="8" w:color="4D04F4"/>
      </w:pBdr>
      <w:shd w:val="clear" w:color="auto" w:fill="F6F3FF"/>
      <w:spacing w:before="120" w:after="200"/>
    </w:p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paragraph" w:styleId="En-tte">
    <w:name w:val="header"/>
    <w:basedOn w:val="Normal"/>
    <w:link w:val="En-tteCar"/>
    <w:uiPriority w:val="99"/>
    <w:unhideWhenUsed/>
    <w:rsid w:val="003C12AA"/>
    <w:pPr>
      <w:tabs>
        <w:tab w:val="center" w:pos="4536"/>
        <w:tab w:val="right" w:pos="9072"/>
      </w:tabs>
    </w:pPr>
  </w:style>
  <w:style w:type="character" w:customStyle="1" w:styleId="En-tteCar">
    <w:name w:val="En-tête Car"/>
    <w:basedOn w:val="Policepardfaut"/>
    <w:link w:val="En-tte"/>
    <w:uiPriority w:val="99"/>
    <w:rsid w:val="003C12AA"/>
    <w:rPr>
      <w:rFonts w:eastAsiaTheme="minorEastAsia"/>
      <w:sz w:val="24"/>
      <w:szCs w:val="24"/>
    </w:rPr>
  </w:style>
  <w:style w:type="paragraph" w:styleId="Pieddepage">
    <w:name w:val="footer"/>
    <w:basedOn w:val="Normal"/>
    <w:link w:val="PieddepageCar"/>
    <w:uiPriority w:val="99"/>
    <w:unhideWhenUsed/>
    <w:rsid w:val="003C12AA"/>
    <w:pPr>
      <w:tabs>
        <w:tab w:val="center" w:pos="4536"/>
        <w:tab w:val="right" w:pos="9072"/>
      </w:tabs>
    </w:pPr>
  </w:style>
  <w:style w:type="character" w:customStyle="1" w:styleId="PieddepageCar">
    <w:name w:val="Pied de page Car"/>
    <w:basedOn w:val="Policepardfaut"/>
    <w:link w:val="Pieddepage"/>
    <w:uiPriority w:val="99"/>
    <w:rsid w:val="003C12AA"/>
    <w:rPr>
      <w:rFonts w:eastAsiaTheme="minorEastAsia"/>
      <w:sz w:val="24"/>
      <w:szCs w:val="24"/>
    </w:rPr>
  </w:style>
  <w:style w:type="character" w:styleId="Numrodepage">
    <w:name w:val="page number"/>
    <w:basedOn w:val="Policepardfaut"/>
    <w:uiPriority w:val="99"/>
    <w:semiHidden/>
    <w:unhideWhenUsed/>
    <w:rsid w:val="003C1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5187773">
      <w:marLeft w:val="0"/>
      <w:marRight w:val="0"/>
      <w:marTop w:val="120"/>
      <w:marBottom w:val="200"/>
      <w:divBdr>
        <w:top w:val="none" w:sz="0" w:space="0" w:color="auto"/>
        <w:left w:val="single" w:sz="24" w:space="8" w:color="4D04F4"/>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5123</Words>
  <Characters>28178</Characters>
  <Application>Microsoft Office Word</Application>
  <DocSecurity>4</DocSecurity>
  <Lines>234</Lines>
  <Paragraphs>66</Paragraphs>
  <ScaleCrop>false</ScaleCrop>
  <Company/>
  <LinksUpToDate>false</LinksUpToDate>
  <CharactersWithSpaces>33235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conformité</dc:title>
  <dc:subject/>
  <dc:creator>remi notta</dc:creator>
  <cp:keywords/>
  <dc:description/>
  <cp:lastModifiedBy>remi notta</cp:lastModifiedBy>
  <cp:revision>2</cp:revision>
  <dcterms:created xsi:type="dcterms:W3CDTF">2026-10-03T19:43:00Z</dcterms:created>
  <dcterms:modified xsi:type="dcterms:W3CDTF">2026-10-03T19:43:00Z</dcterms:modified>
</cp:coreProperties>
</file>