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42 — Comparaison des prix entre fournisseurs</w:t>
      </w:r>
    </w:p>
    <w:p>
      <w:pPr>
        <w:pBdr>
          <w:left w:val="single" w:color="4D04F4" w:sz="18" w:space="6"/>
        </w:pBdr>
        <w:shd w:fill="F6F3FF" w:color="auto" w:val="clear"/>
      </w:pPr>
      <w:r>
        <w:t xml:space="preserve">FlaiX Expert · dossier de développement · généré le 2026-10-23 depuis le dépôt </w:t>
      </w:r>
      <w:hyperlink w:history="1" r:id="rIdv_zvr1jhodxbbwjzex5pm">
        <w:r>
          <w:rPr>
            <w:rStyle w:val="Hyperlink"/>
          </w:rPr>
          <w:t xml:space="preserve">Break-Eat-APP/flaix-expert</w:t>
        </w:r>
      </w:hyperlink>
      <w:r>
        <w:t xml:space="preserve">. Règles du projet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Dates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2026-10-05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Décision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dossier projet §15.141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État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livrée, tests au vert au moment du commit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Commits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</w:tr>
    </w:tbl>
    <w:p/>
    <w:p>
      <w:pPr>
        <w:pStyle w:val="Heading2"/>
      </w:pPr>
      <w:r>
        <w:t xml:space="preserve">1. Ce qui a été décidé, et pourquoi</w:t>
      </w:r>
    </w:p>
    <w:p>
      <w:pPr>
        <w:pStyle w:val="Heading3"/>
      </w:pPr>
      <w:r>
        <w:t xml:space="preserve">15.141 Comparaison des prix entre fournisseurs (2026-10-05)</w:t>
      </w:r>
    </w:p>
    <w:p>
      <w:r>
        <w:rPr>
          <w:b/>
          <w:bCs/>
        </w:rPr>
        <w:t xml:space="preserve">Demande de Rémi</w:t>
      </w:r>
      <w:r>
        <w:t xml:space="preserve"> (2026-10-04 au soir) : </w:t>
      </w:r>
      <w:r>
        <w:rPr>
          <w:i/>
          <w:iCs/>
        </w:rPr>
        <w:t xml:space="preserve">« comparaison des prix entre fournisseurs »</w:t>
      </w:r>
      <w:r>
        <w:t xml:space="preserve">. C'est la partie restante du </w:t>
      </w:r>
      <w:r>
        <w:rPr>
          <w:b/>
          <w:bCs/>
        </w:rPr>
        <w:t xml:space="preserve">module 5</w:t>
      </w:r>
      <w:r>
        <w:t xml:space="preserve"> (Marges &amp; ratios, validé le 2026-09-11 ; choix de Rémi : « comparaison fournisseurs au prix unitaire, plus alerte de sur-conditionnement », §14 module 5 ; règle « un ingrédient s'achète par conditionnement », §4).</w:t>
      </w:r>
    </w:p>
    <w:p>
      <w:r>
        <w:rPr>
          <w:b/>
          <w:bCs/>
        </w:rPr>
        <w:t xml:space="preserve">Règles du prototype, reprises</w:t>
      </w:r>
      <w:r>
        <w:t xml:space="preserve"> : prix comparés </w:t>
      </w:r>
      <w:r>
        <w:rPr>
          <w:b/>
          <w:bCs/>
        </w:rPr>
        <w:t xml:space="preserve">à l'unité</w:t>
      </w:r>
      <w:r>
        <w:t xml:space="preserve"> (la portion pour un produit, le kg, le litre ou la pièce pour un ingrédient), jamais au colis — sinon un fût de 50 L paraît toujours plus cher qu'un fût de 30 L ; le moins cher est marqué, les autres affichent leur écart en % ; </w:t>
      </w:r>
      <w:r>
        <w:rPr>
          <w:b/>
          <w:bCs/>
        </w:rPr>
        <w:t xml:space="preserve">écoulement</w:t>
      </w:r>
      <w:r>
        <w:t xml:space="preserve"> = contenance d'un colis ÷ consommation moyenne par événement ; </w:t>
      </w:r>
      <w:r>
        <w:rPr>
          <w:b/>
          <w:bCs/>
        </w:rPr>
        <w:t xml:space="preserve">alerte de sur-conditionnement</w:t>
      </w:r>
      <w:r>
        <w:t xml:space="preserve"> quand le moins cher à l'unité est un colis qui couvre </w:t>
      </w:r>
      <w:r>
        <w:rPr>
          <w:b/>
          <w:bCs/>
        </w:rPr>
        <w:t xml:space="preserve">plus de 1,5 événement</w:t>
      </w:r>
      <w:r>
        <w:t xml:space="preserve"> de consommation (« sur un produit frais ou un fût entamé, ce qui reste peut coûter plus cher que l'économie faite à l'achat »).</w:t>
      </w:r>
    </w:p>
    <w:p>
      <w:r>
        <w:rPr>
          <w:b/>
          <w:bCs/>
        </w:rPr>
        <w:t xml:space="preserve">Ce que le logiciel réel sait, et ne sait pas</w:t>
      </w:r>
      <w:r>
        <w:t xml:space="preserve"> : le prototype avait un jeu de test d'achats avec leur conditionnement. Le logiciel a les </w:t>
      </w:r>
      <w:r>
        <w:rPr>
          <w:b/>
          <w:bCs/>
        </w:rPr>
        <w:t xml:space="preserve">vraies livraisons</w:t>
      </w:r>
      <w:r>
        <w:t xml:space="preserve"> (Stock : produit ou ingrédient, quantité, prix, fournisseur, date), mais une livraison ne dit pas la taille d'un colis (10 fûts de 30 L arrivent comme 300 L). D'où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Prix de chaque fournisseur</w:t>
      </w:r>
      <w:r>
        <w:t xml:space="preserve"> = prix unitaire de sa </w:t>
      </w:r>
      <w:r>
        <w:rPr>
          <w:b/>
          <w:bCs/>
        </w:rPr>
        <w:t xml:space="preserve">dernière livraison</w:t>
      </w:r>
      <w:r>
        <w:t xml:space="preserve"> (produit : prix unitaire saisi ; ingrédient : prix total ÷ quantité). Les noms de fournisseurs se regroupent sans tenir compte des majuscules ni des espaces ; une livraison sans fournisseur compte sous « Fournisseur non précisé ».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Conditionnement</w:t>
      </w:r>
      <w:r>
        <w:t xml:space="preserve"> : se renseigne une fois par fournisseur et par article, dans le nouvel onglet (« fût », 30 L), modification journalisée. Sans conditionnement renseigné, l'écoulement s'affiche « — » et aucune alerte n'est donnée (jamais une taille devinée). Le formulaire de livraison de Stock ne change pas.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Consommation moyenne par événement</w:t>
      </w:r>
      <w:r>
        <w:t xml:space="preserve"> : moyenne sur les 5 derniers événements qui ont des ventes (un produit non vendu compte 0) ; pour un ingrédient suivi, sa consommation figée à la clôture (§15.125). Sans historique : « — ».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Où</w:t>
      </w:r>
      <w:r>
        <w:t xml:space="preserve"> : Stock → nouvel onglet </w:t>
      </w:r>
      <w:r>
        <w:rPr>
          <w:b/>
          <w:bCs/>
        </w:rPr>
        <w:t xml:space="preserve">« Prix fournisseurs »</w:t>
      </w:r>
      <w:r>
        <w:t xml:space="preserve"> (extension additive ; les autres onglets ne changent pas). Les articles achetés chez au moins deux fournisseurs viennent d'abord ; un article à un seul fournisseur connu le dit (« rien à comparer »).</w:t>
      </w:r>
    </w:p>
    <w:p>
      <w:pPr>
        <w:pStyle w:val="ListParagraph"/>
        <w:numPr>
          <w:ilvl w:val="0"/>
          <w:numId w:val="2"/>
        </w:numPr>
      </w:pPr>
      <w:r>
        <w:t xml:space="preserve">Rien ne se corrige ici : le coût matière reste le CUMP de Stock, le prix de vente se règle dans Produits &amp; prix.</w:t>
      </w:r>
    </w:p>
    <w:p>
      <w:r>
        <w:rPr>
          <w:b/>
          <w:bCs/>
        </w:rPr>
        <w:t xml:space="preserve">Réalisé le 2026-10-05</w:t>
      </w:r>
      <w:r>
        <w:t xml:space="preserve"> (migration 0032, moteur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fournisseurs.ts</w:t>
      </w:r>
      <w:r>
        <w:t xml:space="preserve">, route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routes/fournisseurs.ts</w:t>
      </w:r>
      <w:r>
        <w:t xml:space="preserve">, Stock → « Prix fournisseurs ») : un tableau par article (moins cher marqué, écart en %, colis, écoulement, dernier achat et nombre de livraisons), alerte de sur-conditionnement, colis renseigné en ligne (journalisé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conditionnement_modifie</w:t>
      </w:r>
      <w:r>
        <w:t xml:space="preserve">). </w:t>
      </w:r>
      <w:r>
        <w:rPr>
          <w:b/>
          <w:bCs/>
        </w:rPr>
        <w:t xml:space="preserve">Tests</w:t>
      </w:r>
      <w:r>
        <w:t xml:space="preserve"> : moteur 5, serveur 3 (regroupement des noms, dernière livraison, colis qui couvre 1,5 puis 15 événements, refus).</w:t>
      </w:r>
    </w:p>
    <w:p>
      <w:pPr>
        <w:pStyle w:val="Heading2"/>
      </w:pPr>
      <w:r>
        <w:t xml:space="preserve">2. Ce qui a été construit — commits</w:t>
      </w:r>
    </w:p>
    <w:p>
      <w:pPr>
        <w:pStyle w:val="ListParagraph"/>
        <w:numPr>
          <w:ilvl w:val="0"/>
          <w:numId w:val="2"/>
        </w:numPr>
      </w:pPr>
      <w:hyperlink w:history="1" r:id="rIdlbk2dabwip7s4gdtkhp7a">
        <w:r>
          <w:rPr>
            <w:rStyle w:val="Hyperlink"/>
          </w:rPr>
          <w:t xml:space="preserve">cb5cb03</w:t>
        </w:r>
      </w:hyperlink>
      <w:r>
        <w:t xml:space="preserve"> — 2026-10-05 — Comparaison des prix entre fournisseurs (module 5, dossier §15.141)</w:t>
      </w:r>
    </w:p>
    <w:p>
      <w:pPr>
        <w:pStyle w:val="Heading2"/>
      </w:pPr>
      <w:r>
        <w:t xml:space="preserve">3. Fichiers, par couche</w:t>
      </w:r>
    </w:p>
    <w:p>
      <w:pPr>
        <w:pStyle w:val="Heading3"/>
      </w:pPr>
      <w:r>
        <w:t xml:space="preserve">Base de données (migrations)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db/migrations/0032_conditionnements_fournisseurs.sql</w:t>
      </w:r>
      <w:r>
        <w:t xml:space="preserve"> — créé — </w:t>
      </w:r>
      <w:hyperlink w:history="1" r:id="rIdctegekoxxvhfbziwv3wps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Tests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apps/api/test/fournisseurs.test.ts</w:t>
      </w:r>
      <w:r>
        <w:t xml:space="preserve"> — créé — </w:t>
      </w:r>
      <w:hyperlink w:history="1" r:id="rId6p6dchc6hz7hcso0xwpfz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packages/domain/src/fournisseurs.test.ts</w:t>
      </w:r>
      <w:r>
        <w:t xml:space="preserve"> — créé — </w:t>
      </w:r>
      <w:hyperlink w:history="1" r:id="rIdtkp3z_ljthkvwgnqqcl9b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Moteur de calcul (packages/domain)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packages/domain/src/fournisseurs.ts</w:t>
      </w:r>
      <w:r>
        <w:t xml:space="preserve"> — créé — </w:t>
      </w:r>
      <w:hyperlink w:history="1" r:id="rIdrbyujecf90paag6rfqqah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packages/domain/src/index.ts</w:t>
      </w:r>
      <w:r>
        <w:t xml:space="preserve"> — modifié — </w:t>
      </w:r>
      <w:hyperlink w:history="1" r:id="rIdhqeaoy4w-yvt4mtx2kffv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packages/domain/src/journal-technique.ts</w:t>
      </w:r>
      <w:r>
        <w:t xml:space="preserve"> — modifié — </w:t>
      </w:r>
      <w:hyperlink w:history="1" r:id="rIdywt716dbwno3uxmlczxmk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Serveur (apps/api)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apps/api/src/routes/fournisseurs.ts</w:t>
      </w:r>
      <w:r>
        <w:t xml:space="preserve"> — créé — </w:t>
      </w:r>
      <w:hyperlink w:history="1" r:id="rIduaxuucdcqsup6aipva3nk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apps/api/src/serveur.ts</w:t>
      </w:r>
      <w:r>
        <w:t xml:space="preserve"> — modifié — </w:t>
      </w:r>
      <w:hyperlink w:history="1" r:id="rIdxkhohlbrqwucaohrm-m5d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Écrans (apps/web)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apps/web/src/pages/stock/PrixFournisseurs.tsx</w:t>
      </w:r>
      <w:r>
        <w:t xml:space="preserve"> — créé — </w:t>
      </w:r>
      <w:hyperlink w:history="1" r:id="rIditgwx3_ie31qtk5u8rnwr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apps/web/src/pages/stock/Stock.tsx</w:t>
      </w:r>
      <w:r>
        <w:t xml:space="preserve"> — modifié — </w:t>
      </w:r>
      <w:hyperlink w:history="1" r:id="rIdn43amjsq5k87vbjgpxaj1">
        <w:r>
          <w:rPr>
            <w:rStyle w:val="Hyperlink"/>
          </w:rPr>
          <w:t xml:space="preserve">voir sur GitHub</w:t>
        </w:r>
      </w:hyperlink>
    </w:p>
    <w:p>
      <w:pPr>
        <w:pStyle w:val="Heading2"/>
      </w:pPr>
      <w:r>
        <w:t xml:space="preserve">4. Tests créés dans cette phase</w:t>
      </w:r>
    </w:p>
    <w:p>
      <w:pPr>
        <w:pStyle w:val="Heading3"/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apps/api/test/fournisseurs.test.ts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comparaison des prix entre fournisseurs (§15.141)</w:t>
      </w:r>
    </w:p>
    <w:p>
      <w:pPr>
        <w:pStyle w:val="ListParagraph"/>
        <w:numPr>
          <w:ilvl w:val="1"/>
          <w:numId w:val="2"/>
        </w:numPr>
      </w:pPr>
      <w:r>
        <w:t xml:space="preserve">prix de la dernière livraison chez chaque fournisseur, regroupés sans majuscules ni espaces ; +12 % chez le plus cher</w:t>
      </w:r>
    </w:p>
    <w:p>
      <w:pPr>
        <w:pStyle w:val="ListParagraph"/>
        <w:numPr>
          <w:ilvl w:val="1"/>
          <w:numId w:val="2"/>
        </w:numPr>
      </w:pPr>
      <w:r>
        <w:t xml:space="preserve">colis renseigné : un carton de 24 couvre 1,5 événement (pas d'alerte) ; une palette de 240 couvre 15 événements → sur-conditionnement ; journalisé</w:t>
      </w:r>
    </w:p>
    <w:p>
      <w:pPr>
        <w:pStyle w:val="ListParagraph"/>
        <w:numPr>
          <w:ilvl w:val="1"/>
          <w:numId w:val="2"/>
        </w:numPr>
      </w:pPr>
      <w:r>
        <w:t xml:space="preserve">[F] colis sans contenance refusé ; article d'un autre lieu introuvable</w:t>
      </w:r>
    </w:p>
    <w:p>
      <w:pPr>
        <w:pStyle w:val="Heading3"/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packages/domain/src/fournisseurs.test.ts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comparaison des prix entre fournisseurs (module 5)</w:t>
      </w:r>
    </w:p>
    <w:p>
      <w:pPr>
        <w:pStyle w:val="ListParagraph"/>
        <w:numPr>
          <w:ilvl w:val="1"/>
          <w:numId w:val="2"/>
        </w:numPr>
      </w:pPr>
      <w:r>
        <w:t xml:space="preserve">exemple du prototype : 4,500 €/L chez le moins cher, 5,050 €/L chez l'autre → +12,2 % ; au litre, jamais au fût</w:t>
      </w:r>
    </w:p>
    <w:p>
      <w:pPr>
        <w:pStyle w:val="ListParagraph"/>
        <w:numPr>
          <w:ilvl w:val="1"/>
          <w:numId w:val="2"/>
        </w:numPr>
      </w:pPr>
      <w:r>
        <w:t xml:space="preserve">le prix d'un fournisseur est celui de sa dernière livraison ; les noms se regroupent sans majuscules ni espaces</w:t>
      </w:r>
    </w:p>
    <w:p>
      <w:pPr>
        <w:pStyle w:val="ListParagraph"/>
        <w:numPr>
          <w:ilvl w:val="1"/>
          <w:numId w:val="2"/>
        </w:numPr>
      </w:pPr>
      <w:r>
        <w:t xml:space="preserve">sur-conditionnement : le moins cher est un fût de 50 L pour 14 L bus par événement → couvre 3,6 événements, alerte</w:t>
      </w:r>
    </w:p>
    <w:p>
      <w:pPr>
        <w:pStyle w:val="ListParagraph"/>
        <w:numPr>
          <w:ilvl w:val="1"/>
          <w:numId w:val="2"/>
        </w:numPr>
      </w:pPr>
      <w:r>
        <w:t xml:space="preserve">un seul fournisseur : rien à comparer, après les autres ; livraison sans fournisseur nommée comme telle</w:t>
      </w:r>
    </w:p>
    <w:p>
      <w:pPr>
        <w:pStyle w:val="ListParagraph"/>
        <w:numPr>
          <w:ilvl w:val="1"/>
          <w:numId w:val="2"/>
        </w:numPr>
      </w:pPr>
      <w:r>
        <w:t xml:space="preserve">consommation moyenne : les événements sans vente comptent pour 0</w:t>
      </w:r>
    </w:p>
    <w:p>
      <w:pPr>
        <w:pStyle w:val="Heading2"/>
      </w:pPr>
      <w:r>
        <w:t xml:space="preserve">5. Pour reprendre ou vérifier cette phase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install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db:up</w:t>
      </w:r>
      <w:r>
        <w:t xml:space="preserve"> (PostgreSQL local dans Docker),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db:migrate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Tests du moteur de cette phase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cd packages/domain &amp;&amp; ./node_modules/.bin/vitest run src/fournisseurs.test.ts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Tests contre la base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cd apps/api &amp;&amp; ./node_modules/.bin/vitest run test/fournisseurs.test.ts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Avant toute modification : lire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 (règles et invariants), puis la section du dossier projet indiquée ci-dessus. Une migration appliquée ne se modifie jamais ; un refus de la base est voulu.</w:t>
      </w:r>
    </w:p>
    <w:p>
      <w:pPr>
        <w:pStyle w:val="ListParagraph"/>
        <w:numPr>
          <w:ilvl w:val="0"/>
          <w:numId w:val="2"/>
        </w:numPr>
      </w:pPr>
      <w:r>
        <w:t xml:space="preserve">Ordre de construction complet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docs/developpement/JOURNAL_DES_PHASES.md</w:t>
      </w:r>
      <w:r>
        <w:t xml:space="preserve"> ; où trouver quoi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docs/developpement/CARTE_DU_CODE.md</w:t>
      </w:r>
      <w:r>
        <w:t xml:space="preserve">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08080"/>
        <w:sz w:val="16"/>
        <w:szCs w:val="16"/>
      </w:rPr>
      <w:t xml:space="preserve">FlaiX Expert — dossier de développement — Phase 42 — Comparaison des prix entre fournisseurs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4D04F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4D04F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B254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2B25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v_zvr1jhodxbbwjzex5pm" Type="http://schemas.openxmlformats.org/officeDocument/2006/relationships/hyperlink" Target="https://github.com/Break-Eat-APP/flaix-expert" TargetMode="External"/><Relationship Id="rIdlbk2dabwip7s4gdtkhp7a" Type="http://schemas.openxmlformats.org/officeDocument/2006/relationships/hyperlink" Target="https://github.com/Break-Eat-APP/flaix-expert/commit/cb5cb039544ae547d7f86b649da7a5af4e35f00c" TargetMode="External"/><Relationship Id="rIdctegekoxxvhfbziwv3wps" Type="http://schemas.openxmlformats.org/officeDocument/2006/relationships/hyperlink" Target="https://github.com/Break-Eat-APP/flaix-expert/blob/cb5cb039544ae547d7f86b649da7a5af4e35f00c/db/migrations/0032_conditionnements_fournisseurs.sql" TargetMode="External"/><Relationship Id="rId6p6dchc6hz7hcso0xwpfz" Type="http://schemas.openxmlformats.org/officeDocument/2006/relationships/hyperlink" Target="https://github.com/Break-Eat-APP/flaix-expert/blob/cb5cb039544ae547d7f86b649da7a5af4e35f00c/apps/api/test/fournisseurs.test.ts" TargetMode="External"/><Relationship Id="rIdtkp3z_ljthkvwgnqqcl9b" Type="http://schemas.openxmlformats.org/officeDocument/2006/relationships/hyperlink" Target="https://github.com/Break-Eat-APP/flaix-expert/blob/cb5cb039544ae547d7f86b649da7a5af4e35f00c/packages/domain/src/fournisseurs.test.ts" TargetMode="External"/><Relationship Id="rIdrbyujecf90paag6rfqqah" Type="http://schemas.openxmlformats.org/officeDocument/2006/relationships/hyperlink" Target="https://github.com/Break-Eat-APP/flaix-expert/blob/cb5cb039544ae547d7f86b649da7a5af4e35f00c/packages/domain/src/fournisseurs.ts" TargetMode="External"/><Relationship Id="rIdhqeaoy4w-yvt4mtx2kffv" Type="http://schemas.openxmlformats.org/officeDocument/2006/relationships/hyperlink" Target="https://github.com/Break-Eat-APP/flaix-expert/blob/cb5cb039544ae547d7f86b649da7a5af4e35f00c/packages/domain/src/index.ts" TargetMode="External"/><Relationship Id="rIdywt716dbwno3uxmlczxmk" Type="http://schemas.openxmlformats.org/officeDocument/2006/relationships/hyperlink" Target="https://github.com/Break-Eat-APP/flaix-expert/blob/cb5cb039544ae547d7f86b649da7a5af4e35f00c/packages/domain/src/journal-technique.ts" TargetMode="External"/><Relationship Id="rIduaxuucdcqsup6aipva3nk" Type="http://schemas.openxmlformats.org/officeDocument/2006/relationships/hyperlink" Target="https://github.com/Break-Eat-APP/flaix-expert/blob/cb5cb039544ae547d7f86b649da7a5af4e35f00c/apps/api/src/routes/fournisseurs.ts" TargetMode="External"/><Relationship Id="rIdxkhohlbrqwucaohrm-m5d" Type="http://schemas.openxmlformats.org/officeDocument/2006/relationships/hyperlink" Target="https://github.com/Break-Eat-APP/flaix-expert/blob/cb5cb039544ae547d7f86b649da7a5af4e35f00c/apps/api/src/serveur.ts" TargetMode="External"/><Relationship Id="rIditgwx3_ie31qtk5u8rnwr" Type="http://schemas.openxmlformats.org/officeDocument/2006/relationships/hyperlink" Target="https://github.com/Break-Eat-APP/flaix-expert/blob/cb5cb039544ae547d7f86b649da7a5af4e35f00c/apps/web/src/pages/stock/PrixFournisseurs.tsx" TargetMode="External"/><Relationship Id="rIdn43amjsq5k87vbjgpxaj1" Type="http://schemas.openxmlformats.org/officeDocument/2006/relationships/hyperlink" Target="https://github.com/Break-Eat-APP/flaix-expert/blob/cb5cb039544ae547d7f86b649da7a5af4e35f00c/apps/web/src/pages/stock/Stock.tsx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FlaiX Expert — dossier de développement — Phase 42 — Comparaison des prix entre fournisseurs</dc:title>
  <dc:creator>FlaiX Expert</dc:creator>
  <cp:lastModifiedBy>Un-named</cp:lastModifiedBy>
  <cp:revision>1</cp:revision>
  <dcterms:created xsi:type="dcterms:W3CDTF">2026-10-23T14:49:06.066Z</dcterms:created>
  <dcterms:modified xsi:type="dcterms:W3CDTF">2026-10-23T14:49:06.066Z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