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44"/>
        </w:rPr>
        <w:t>Governed Prompt Gateway Business Requirements</w:t>
      </w:r>
    </w:p>
    <w:p>
      <w:pPr>
        <w:spacing w:after="80"/>
      </w:pPr>
      <w:r>
        <w:rPr>
          <w:rFonts w:ascii="Aptos" w:hAnsi="Aptos"/>
          <w:b w:val="0"/>
          <w:color w:val="59636E"/>
          <w:sz w:val="19"/>
        </w:rPr>
        <w:t>Two month delivery baseline  |  Retail banking support  |  Version 1.0</w:t>
      </w:r>
    </w:p>
    <w:p>
      <w:pPr>
        <w:pStyle w:val="Heading1"/>
      </w:pPr>
      <w:r>
        <w:t>Purpose and business outcome</w:t>
      </w:r>
    </w:p>
    <w:p>
      <w:r>
        <w:rPr>
          <w:rFonts w:ascii="Aptos" w:hAnsi="Aptos"/>
          <w:b w:val="0"/>
          <w:i w:val="0"/>
          <w:color w:val="000000"/>
          <w:sz w:val="18"/>
        </w:rPr>
        <w:t>Build and demonstrate a governed control layer that processes customer-service prompts before an LLM is used. The prototype must reduce unsafe model access and estimated cost while producing an auditable record of every decision. It is a project demonstration, not a production banking system or legal compliance certification.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2880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Business objective</w:t>
            </w:r>
          </w:p>
        </w:tc>
        <w:tc>
          <w:tcPr>
            <w:tcW w:type="dxa" w:w="7488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Improve safety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At least 80 percent F1 for prompt-risk classification, with precision and recall reported on public and banking-specific test sets.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Reduce model usage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Blocked and valid cached prompts do not reach a generation model.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Reduce input cost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Report token reduction for eligible prompts; retain the original 30 to 50 percent target as an aspiration, not a release gate.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Improve auditability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One complete decision record for every query, including blocked and cached queries.</w:t>
            </w:r>
          </w:p>
        </w:tc>
      </w:tr>
    </w:tbl>
    <w:p>
      <w:pPr>
        <w:pStyle w:val="Heading1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5184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 scope</w:t>
            </w:r>
          </w:p>
        </w:tc>
        <w:tc>
          <w:tcPr>
            <w:tcW w:type="dxa" w:w="5184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Out of scope</w:t>
            </w:r>
          </w:p>
        </w:tc>
      </w:tr>
      <w:tr>
        <w:tc>
          <w:tcPr>
            <w:tcW w:type="dxa" w:w="5184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Retail banking queries; text cleanup; personal-data masking; risk classification; ALLOW, BLOCK, or ESCALATE policy; semantic cache; simple model-tier routing; token and cost estimates; audit record; Streamlit demo.</w:t>
            </w:r>
          </w:p>
        </w:tc>
        <w:tc>
          <w:tcPr>
            <w:tcW w:type="dxa" w:w="5184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Production deployment; live customer data or bank integration; legal advice or compliance certification; large-scale paid model calls; jurisdiction-specific profiles; complex prompt optimization; full automated testing product.</w:t>
            </w:r>
          </w:p>
        </w:tc>
      </w:tr>
    </w:tbl>
    <w:p>
      <w:pPr>
        <w:pStyle w:val="Heading1"/>
      </w:pPr>
      <w:r>
        <w:t>Minimum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792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968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4608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Acceptance evidence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FR 01</w:t>
            </w:r>
          </w:p>
        </w:tc>
        <w:tc>
          <w:tcPr>
            <w:tcW w:type="dxa" w:w="496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A Python interface accepts a query and returns a disposition, response, and JSON decision record.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One command processes the evaluation workload end to end.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FR 02</w:t>
            </w:r>
          </w:p>
        </w:tc>
        <w:tc>
          <w:tcPr>
            <w:tcW w:type="dxa" w:w="496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Personal account and card patterns are masked before classification, caching, routing, and logging.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Privacy tests show no raw detected values downstream.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FR 03</w:t>
            </w:r>
          </w:p>
        </w:tc>
        <w:tc>
          <w:tcPr>
            <w:tcW w:type="dxa" w:w="496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A lightweight classifier labels toxic, jailbreak, harmful, and regulated-advice risk.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Metrics reported on public and banking-specific test sets.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FR 04</w:t>
            </w:r>
          </w:p>
        </w:tc>
        <w:tc>
          <w:tcPr>
            <w:tcW w:type="dxa" w:w="496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Versioned policy rules return ALLOW, BLOCK, or ESCALATE with a reason.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Demo includes every outcome; BLOCK and ESCALATE stop execution.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FR 05</w:t>
            </w:r>
          </w:p>
        </w:tc>
        <w:tc>
          <w:tcPr>
            <w:tcW w:type="dxa" w:w="496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Eligible allowed prompts use semantic cache lookup with a threshold and intent-based time-to-live rule.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Hit rate, precision, recall, and selected threshold reported.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FR 06</w:t>
            </w:r>
          </w:p>
        </w:tc>
        <w:tc>
          <w:tcPr>
            <w:tcW w:type="dxa" w:w="496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Allowed cache misses receive a simple model-tier recommendation and estimated cost.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Tier distribution and governed-versus-baseline cost shown.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FR 07</w:t>
            </w:r>
          </w:p>
        </w:tc>
        <w:tc>
          <w:tcPr>
            <w:tcW w:type="dxa" w:w="496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The dashboard shows stage results, risk, cache status, tier, tokens, and estimated savings.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Single-query and aggregate views work in the demo.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FR 08</w:t>
            </w:r>
          </w:p>
        </w:tc>
        <w:tc>
          <w:tcPr>
            <w:tcW w:type="dxa" w:w="496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Every request records policy, model, configuration, threshold, and outcome versions where applicable.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Audit record count equals processed query count.</w:t>
            </w:r>
          </w:p>
        </w:tc>
      </w:tr>
    </w:tbl>
    <w:p>
      <w:r>
        <w:br w:type="page"/>
      </w:r>
    </w:p>
    <w:p>
      <w:pPr>
        <w:pStyle w:val="Heading1"/>
      </w:pPr>
      <w:r>
        <w:t>Eight week delivery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792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6120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Committed outcome</w:t>
            </w:r>
          </w:p>
        </w:tc>
        <w:tc>
          <w:tcPr>
            <w:tcW w:type="dxa" w:w="3456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Exit condition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612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Agree on schema, scope, risk taxonomy, dataset versions, and evaluation split. Build a basic pipeline shell.</w:t>
            </w:r>
          </w:p>
        </w:tc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One query produces a complete placeholder decision record.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612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Load and profile ToxicChat and Banking77. Add token counts, privacy masking, keyword baseline, and policy rules.</w:t>
            </w:r>
          </w:p>
        </w:tc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Baseline pipeline runs over a small workload.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612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Train or fine-tune the lightweight risk classifier. Draft the banking attack set.</w:t>
            </w:r>
          </w:p>
        </w:tc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Baseline and candidate metrics recorded.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612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Finalize safety evaluation and policy configuration. Freeze the attack evaluation set.</w:t>
            </w:r>
          </w:p>
        </w:tc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Public and banking-specific safety results approved internally.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612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Build semantic cache, threshold sweep, and cache time-to-live table.</w:t>
            </w:r>
          </w:p>
        </w:tc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Cache precision and recall curve produced.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612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Add simple intent-based routing, cost model, and full workload runner.</w:t>
            </w:r>
          </w:p>
        </w:tc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Estimated savings and tier distribution produced.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612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Complete Streamlit views, documentation, architecture diagram, and limitations.</w:t>
            </w:r>
          </w:p>
        </w:tc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Feature complete and code frozen at week end.</w:t>
            </w:r>
          </w:p>
        </w:tc>
      </w:tr>
      <w:tr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612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Fix demonstration defects, rehearse, and finalize results and presentation. No new features.</w:t>
            </w:r>
          </w:p>
        </w:tc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4"/>
              </w:rPr>
              <w:t>Repeatable demo and final repository ready.</w:t>
            </w:r>
          </w:p>
        </w:tc>
      </w:tr>
    </w:tbl>
    <w:p>
      <w:pPr>
        <w:pStyle w:val="Heading1"/>
      </w:pPr>
      <w:r>
        <w:t>Deliverables and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2880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7488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Minimum acceptance condition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ptos" w:hAnsi="Aptos"/>
                <w:b w:val="0"/>
                <w:color w:val="000000"/>
                <w:sz w:val="15"/>
              </w:rPr>
              <w:t>Python package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Stable processing interface and versioned policy configuration.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Streamlit application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Shows all stages for one query and aggregate workload results.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Evaluation results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Safety, cache, token, routing, and estimated cost metrics with documented assumptions.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Repository documentation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Setup, usage, architecture, datasets, decisions, limitations, and demo script.</w:t>
            </w:r>
          </w:p>
        </w:tc>
      </w:tr>
    </w:tbl>
    <w:p>
      <w:pPr>
        <w:pStyle w:val="Heading1"/>
      </w:pPr>
      <w:r>
        <w:t>Delivery priorities and cuts</w:t>
      </w:r>
    </w:p>
    <w:p>
      <w:r>
        <w:rPr>
          <w:rFonts w:ascii="Aptos" w:hAnsi="Aptos"/>
          <w:b/>
          <w:color w:val="000000"/>
          <w:sz w:val="18"/>
        </w:rPr>
        <w:t xml:space="preserve">Protect: </w:t>
      </w:r>
      <w:r>
        <w:rPr>
          <w:rFonts w:ascii="Aptos" w:hAnsi="Aptos"/>
          <w:b w:val="0"/>
          <w:i w:val="0"/>
          <w:color w:val="000000"/>
          <w:sz w:val="18"/>
        </w:rPr>
        <w:t>end-to-end integration, decision records, easy-versus-hard safety evaluation, privacy masking, cache precision and recall, and the governed-versus-baseline cost comparison.</w:t>
      </w:r>
    </w:p>
    <w:p>
      <w:r>
        <w:rPr>
          <w:rFonts w:ascii="Aptos" w:hAnsi="Aptos"/>
          <w:b/>
          <w:color w:val="000000"/>
          <w:sz w:val="18"/>
        </w:rPr>
        <w:t xml:space="preserve">Cut first: </w:t>
      </w:r>
      <w:r>
        <w:rPr>
          <w:rFonts w:ascii="Aptos" w:hAnsi="Aptos"/>
          <w:b w:val="0"/>
          <w:i w:val="0"/>
          <w:color w:val="000000"/>
          <w:sz w:val="18"/>
        </w:rPr>
        <w:t>prompt compression, advanced complexity routing, extra datasets, jurisdiction profiles, and automated test-harness features. If routing slips, route by intent. If model training slips, ship the strongest evaluated baseline and document the limitation.</w:t>
      </w:r>
    </w:p>
    <w:p>
      <w:pPr>
        <w:pStyle w:val="Heading1"/>
      </w:pPr>
      <w:r>
        <w:t>Key risks and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3816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6552"/>
            <w:shd w:fill="18324A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</w:tr>
      <w:tr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Classifier learns topic instead of harmfulness</w:t>
            </w:r>
          </w:p>
        </w:tc>
        <w:tc>
          <w:tcPr>
            <w:tcW w:type="dxa" w:w="65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Report public and banking-specific results separately.</w:t>
            </w:r>
          </w:p>
        </w:tc>
      </w:tr>
      <w:tr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Incorrect or stale cache reuse</w:t>
            </w:r>
          </w:p>
        </w:tc>
        <w:tc>
          <w:tcPr>
            <w:tcW w:type="dxa" w:w="65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Optimize for precision; use thresholds, intent labels, time-to-live rules, and never-cache categories.</w:t>
            </w:r>
          </w:p>
        </w:tc>
      </w:tr>
      <w:tr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Sensitive data reaches logs or cache</w:t>
            </w:r>
          </w:p>
        </w:tc>
        <w:tc>
          <w:tcPr>
            <w:tcW w:type="dxa" w:w="65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Mask before downstream stages and inspect every output surface.</w:t>
            </w:r>
          </w:p>
        </w:tc>
      </w:tr>
      <w:tr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Schedule expansion</w:t>
            </w:r>
          </w:p>
        </w:tc>
        <w:tc>
          <w:tcPr>
            <w:tcW w:type="dxa" w:w="65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  <w:shd w:fill="F3F7FA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Freeze features after week 7 and apply the stated cut order.</w:t>
            </w:r>
          </w:p>
        </w:tc>
      </w:tr>
      <w:tr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Estimated savings are overstated</w:t>
            </w:r>
          </w:p>
        </w:tc>
        <w:tc>
          <w:tcPr>
            <w:tcW w:type="dxa" w:w="6552"/>
            <w:tcMar>
              <w:top w:w="50" w:type="dxa"/>
              <w:start w:w="50" w:type="dxa"/>
              <w:bottom w:w="50" w:type="dxa"/>
              <w:end w:w="5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Publish price assumptions and label simulated costs clearly.</w:t>
            </w:r>
          </w:p>
        </w:tc>
      </w:tr>
    </w:tbl>
    <w:p>
      <w:pPr>
        <w:pStyle w:val="Heading1"/>
        <w:spacing w:after="80"/>
      </w:pPr>
      <w:r>
        <w:t>Decisions required in week one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color w:val="000000"/>
          <w:sz w:val="17"/>
        </w:rPr>
        <w:t>Advisor approves retail banking scope and the lightweight classifier approach.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color w:val="000000"/>
          <w:sz w:val="17"/>
        </w:rPr>
        <w:t>Team approves the decision-record schema, risk taxonomy, and ALLOW, BLOCK, or ESCALATE rules.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color w:val="000000"/>
          <w:sz w:val="17"/>
        </w:rPr>
        <w:t>Team defines ToxicChat label use, the held-out banking attack set, and cache policies for Banking77 intents.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color w:val="000000"/>
          <w:sz w:val="17"/>
        </w:rPr>
        <w:t>Cost team documents model tiers, prices, and the all-highest-tier comparison baseline.</w:t>
      </w:r>
    </w:p>
    <w:p>
      <w:r>
        <w:rPr>
          <w:rFonts w:ascii="Aptos" w:hAnsi="Aptos"/>
          <w:b w:val="0"/>
          <w:i/>
          <w:color w:val="000000"/>
          <w:sz w:val="18"/>
        </w:rPr>
        <w:t>Approval status  Working baseline pending advisor and team confirmation.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9636E"/>
        <w:sz w:val="14"/>
      </w:rPr>
      <w:t>Break Through Tech AI Studio  |  Fall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4"/>
      </w:rPr>
      <w:t>GOVERNED PROMPT GATEWAY  |  CONCISE BRD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Governed Prompt Gateway Business Requirements Two Page</dc:title>
  <dc:subject>Two month business requirements baseline for governed prompt gateway</dc:subject>
  <dc:creator>AI Studio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