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widowControl/>
      </w:pPr>
    </w:p>
    <w:p>
      <w:pPr>
        <w:pStyle w:val="Title"/>
        <w:jc w:val="left"/>
      </w:pPr>
      <w:r>
        <w:rPr>
          <w:rFonts w:ascii="Aptos Display" w:hAnsi="Aptos Display"/>
          <w:b/>
          <w:color w:val="000000"/>
          <w:sz w:val="56"/>
        </w:rPr>
        <w:t>Governed Prompt Gateway Business Requirements Document</w:t>
      </w:r>
    </w:p>
    <w:p>
      <w:pPr>
        <w:pStyle w:val="BRDSubtitle"/>
      </w:pPr>
      <w:r>
        <w:rPr>
          <w:rFonts w:ascii="Aptos" w:hAnsi="Aptos"/>
          <w:color w:val="59636E"/>
          <w:sz w:val="26"/>
        </w:rPr>
        <w:t>Safety and cost control for LLM use in retail banking support</w:t>
      </w:r>
    </w:p>
    <w:p>
      <w:pPr>
        <w:keepLines w:val="0"/>
        <w:widowControl/>
      </w:pPr>
      <w:r>
        <w:rPr>
          <w:rFonts w:ascii="Aptos" w:hAnsi="Aptos"/>
          <w:i w:val="0"/>
          <w:color w:val="000000"/>
        </w:rPr>
        <w:t>Break Through Tech AI Studio  |  Fall 2026</w:t>
      </w:r>
    </w:p>
    <w:p>
      <w:pPr>
        <w:keepLines w:val="0"/>
        <w:widowControl/>
      </w:pPr>
      <w:r>
        <w:rPr>
          <w:rFonts w:ascii="Aptos" w:hAnsi="Aptos"/>
          <w:i/>
          <w:color w:val="000000"/>
        </w:rPr>
        <w:t>Prepared from the project overview and the Governed Prompt Gateway team planning summary</w:t>
      </w:r>
    </w:p>
    <w:p>
      <w:pPr>
        <w:spacing w:after="1800"/>
        <w:widowControl/>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8324A"/>
            <w:tcMar>
              <w:top w:w="90" w:type="dxa"/>
              <w:start w:w="110" w:type="dxa"/>
              <w:bottom w:w="90" w:type="dxa"/>
              <w:end w:w="110" w:type="dxa"/>
            </w:tcMar>
            <w:vAlign w:val="center"/>
          </w:tcPr>
          <w:p>
            <w:pPr>
              <w:spacing w:after="0"/>
              <w:jc w:val="center"/>
            </w:pPr>
            <w:r>
              <w:rPr>
                <w:rFonts w:ascii="Aptos" w:hAnsi="Aptos"/>
                <w:b/>
                <w:color w:val="FFFFFF"/>
                <w:sz w:val="18"/>
              </w:rPr>
              <w:t>Document field</w:t>
            </w:r>
          </w:p>
        </w:tc>
        <w:tc>
          <w:tcPr>
            <w:tcW w:type="dxa" w:w="6912"/>
            <w:shd w:fill="18324A"/>
            <w:tcMar>
              <w:top w:w="90" w:type="dxa"/>
              <w:start w:w="110" w:type="dxa"/>
              <w:bottom w:w="90" w:type="dxa"/>
              <w:end w:w="110" w:type="dxa"/>
            </w:tcMar>
            <w:vAlign w:val="center"/>
          </w:tcPr>
          <w:p>
            <w:pPr>
              <w:spacing w:after="0"/>
              <w:jc w:val="center"/>
            </w:pPr>
            <w:r>
              <w:rPr>
                <w:rFonts w:ascii="Aptos" w:hAnsi="Aptos"/>
                <w:b/>
                <w:color w:val="FFFFFF"/>
                <w:sz w:val="18"/>
              </w:rPr>
              <w:t>Value</w:t>
            </w:r>
          </w:p>
        </w:tc>
      </w:tr>
      <w:tr>
        <w:tc>
          <w:tcPr>
            <w:tcW w:type="dxa" w:w="2520"/>
            <w:vAlign w:val="center"/>
            <w:tcMar>
              <w:top w:w="90" w:type="dxa"/>
              <w:start w:w="110" w:type="dxa"/>
              <w:bottom w:w="90" w:type="dxa"/>
              <w:end w:w="110" w:type="dxa"/>
            </w:tcMar>
          </w:tcPr>
          <w:p>
            <w:pPr>
              <w:spacing w:after="0" w:line="240" w:lineRule="auto"/>
              <w:jc w:val="center"/>
            </w:pPr>
            <w:r>
              <w:rPr>
                <w:rFonts w:ascii="Aptos" w:hAnsi="Aptos"/>
                <w:color w:val="000000"/>
                <w:sz w:val="17"/>
              </w:rPr>
              <w:t>Document status</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Working baseline for team and advisor review</w:t>
            </w:r>
          </w:p>
        </w:tc>
      </w:tr>
      <w:tr>
        <w:tc>
          <w:tcPr>
            <w:tcW w:type="dxa" w:w="252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Business owner</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Challenge advisor and sponsoring organization</w:t>
            </w:r>
          </w:p>
        </w:tc>
      </w:tr>
      <w:tr>
        <w:tc>
          <w:tcPr>
            <w:tcW w:type="dxa" w:w="2520"/>
            <w:vAlign w:val="center"/>
            <w:tcMar>
              <w:top w:w="90" w:type="dxa"/>
              <w:start w:w="110" w:type="dxa"/>
              <w:bottom w:w="90" w:type="dxa"/>
              <w:end w:w="110" w:type="dxa"/>
            </w:tcMar>
          </w:tcPr>
          <w:p>
            <w:pPr>
              <w:spacing w:after="0" w:line="240" w:lineRule="auto"/>
              <w:jc w:val="center"/>
            </w:pPr>
            <w:r>
              <w:rPr>
                <w:rFonts w:ascii="Aptos" w:hAnsi="Aptos"/>
                <w:color w:val="000000"/>
                <w:sz w:val="17"/>
              </w:rPr>
              <w:t>Delivery team</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AI Studio fellow team</w:t>
            </w:r>
          </w:p>
        </w:tc>
      </w:tr>
      <w:tr>
        <w:tc>
          <w:tcPr>
            <w:tcW w:type="dxa" w:w="252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Planned delivery</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December 2026 demonstration and final repository</w:t>
            </w:r>
          </w:p>
        </w:tc>
      </w:tr>
      <w:tr>
        <w:tc>
          <w:tcPr>
            <w:tcW w:type="dxa" w:w="2520"/>
            <w:vAlign w:val="center"/>
            <w:tcMar>
              <w:top w:w="90" w:type="dxa"/>
              <w:start w:w="110" w:type="dxa"/>
              <w:bottom w:w="90" w:type="dxa"/>
              <w:end w:w="110" w:type="dxa"/>
            </w:tcMar>
          </w:tcPr>
          <w:p>
            <w:pPr>
              <w:spacing w:after="0" w:line="240" w:lineRule="auto"/>
              <w:jc w:val="center"/>
            </w:pPr>
            <w:r>
              <w:rPr>
                <w:rFonts w:ascii="Aptos" w:hAnsi="Aptos"/>
                <w:color w:val="000000"/>
                <w:sz w:val="17"/>
              </w:rPr>
              <w:t>Version</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1.0</w:t>
            </w:r>
          </w:p>
        </w:tc>
      </w:tr>
      <w:tr>
        <w:tc>
          <w:tcPr>
            <w:tcW w:type="dxa" w:w="252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Date</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September 19 2026</w:t>
            </w:r>
          </w:p>
        </w:tc>
      </w:tr>
    </w:tbl>
    <w:p>
      <w:pPr>
        <w:spacing w:after="20"/>
        <w:widowControl/>
      </w:pPr>
    </w:p>
    <w:p>
      <w:pPr>
        <w:keepLines w:val="0"/>
        <w:widowControl/>
      </w:pPr>
      <w:r>
        <w:rPr>
          <w:rFonts w:ascii="Aptos" w:hAnsi="Aptos"/>
          <w:i/>
          <w:color w:val="000000"/>
        </w:rPr>
        <w:t>Approval note  The retail banking scope, operating policy, final thresholds, and production suitability remain subject to team agreement and advisor approval.</w:t>
      </w:r>
    </w:p>
    <w:p>
      <w:pPr>
        <w:widowControl/>
      </w:pPr>
      <w:r>
        <w:br w:type="page"/>
      </w:r>
    </w:p>
    <w:p>
      <w:pPr>
        <w:pStyle w:val="Heading1"/>
      </w:pPr>
      <w:r>
        <w:t>Document purpose</w:t>
      </w:r>
    </w:p>
    <w:p>
      <w:pPr>
        <w:keepLines w:val="0"/>
        <w:widowControl/>
      </w:pPr>
      <w:r>
        <w:rPr>
          <w:rFonts w:ascii="Aptos" w:hAnsi="Aptos"/>
          <w:i w:val="0"/>
          <w:color w:val="000000"/>
        </w:rPr>
        <w:t>This document defines the business need, operating scope, required capabilities, quality expectations, measures of success, delivery plan, and approval decisions for the Governed Prompt Gateway. It converts the supplied project brief and team planning draft into a requirements baseline that the team can use to design, build, evaluate, and demonstrate the December solution.</w:t>
      </w:r>
    </w:p>
    <w:p>
      <w:pPr>
        <w:keepLines w:val="0"/>
        <w:widowControl/>
      </w:pPr>
      <w:r>
        <w:rPr>
          <w:rFonts w:ascii="Aptos" w:hAnsi="Aptos"/>
          <w:i w:val="0"/>
          <w:color w:val="000000"/>
        </w:rPr>
        <w:t>The intended readers are the challenge advisor, AI Studio coach, fellow delivery team, and reviewers who must understand what the gateway will do, how success will be measured, and which decisions are still open.</w:t>
      </w:r>
    </w:p>
    <w:p>
      <w:pPr>
        <w:pStyle w:val="Heading1"/>
      </w:pPr>
      <w:r>
        <w:t>Business requirements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160"/>
            <w:shd w:fill="18324A"/>
            <w:tcMar>
              <w:top w:w="90" w:type="dxa"/>
              <w:start w:w="110" w:type="dxa"/>
              <w:bottom w:w="90" w:type="dxa"/>
              <w:end w:w="110" w:type="dxa"/>
            </w:tcMar>
            <w:vAlign w:val="center"/>
          </w:tcPr>
          <w:p>
            <w:pPr>
              <w:spacing w:after="0"/>
              <w:jc w:val="center"/>
            </w:pPr>
            <w:r>
              <w:rPr>
                <w:rFonts w:ascii="Aptos" w:hAnsi="Aptos"/>
                <w:b/>
                <w:color w:val="FFFFFF"/>
                <w:sz w:val="18"/>
              </w:rPr>
              <w:t>Area</w:t>
            </w:r>
          </w:p>
        </w:tc>
        <w:tc>
          <w:tcPr>
            <w:tcW w:type="dxa" w:w="7272"/>
            <w:shd w:fill="18324A"/>
            <w:tcMar>
              <w:top w:w="90" w:type="dxa"/>
              <w:start w:w="110" w:type="dxa"/>
              <w:bottom w:w="90" w:type="dxa"/>
              <w:end w:w="110" w:type="dxa"/>
            </w:tcMar>
            <w:vAlign w:val="center"/>
          </w:tcPr>
          <w:p>
            <w:pPr>
              <w:spacing w:after="0"/>
              <w:jc w:val="center"/>
            </w:pPr>
            <w:r>
              <w:rPr>
                <w:rFonts w:ascii="Aptos" w:hAnsi="Aptos"/>
                <w:b/>
                <w:color w:val="FFFFFF"/>
                <w:sz w:val="18"/>
              </w:rPr>
              <w:t>Baseline requirement</w:t>
            </w:r>
          </w:p>
        </w:tc>
      </w:tr>
      <w:tr>
        <w:tc>
          <w:tcPr>
            <w:tcW w:type="dxa" w:w="2160"/>
            <w:vAlign w:val="center"/>
            <w:tcMar>
              <w:top w:w="90" w:type="dxa"/>
              <w:start w:w="110" w:type="dxa"/>
              <w:bottom w:w="90" w:type="dxa"/>
              <w:end w:w="110" w:type="dxa"/>
            </w:tcMar>
          </w:tcPr>
          <w:p>
            <w:pPr>
              <w:spacing w:after="0" w:line="240" w:lineRule="auto"/>
              <w:jc w:val="center"/>
            </w:pPr>
            <w:r>
              <w:rPr>
                <w:rFonts w:ascii="Aptos" w:hAnsi="Aptos"/>
                <w:color w:val="000000"/>
                <w:sz w:val="17"/>
              </w:rPr>
              <w:t>Business problem</w:t>
            </w:r>
          </w:p>
        </w:tc>
        <w:tc>
          <w:tcPr>
            <w:tcW w:type="dxa" w:w="7272"/>
            <w:vAlign w:val="center"/>
            <w:tcMar>
              <w:top w:w="90" w:type="dxa"/>
              <w:start w:w="110" w:type="dxa"/>
              <w:bottom w:w="90" w:type="dxa"/>
              <w:end w:w="110" w:type="dxa"/>
            </w:tcMar>
          </w:tcPr>
          <w:p>
            <w:pPr>
              <w:spacing w:after="0" w:line="240" w:lineRule="auto"/>
            </w:pPr>
            <w:r>
              <w:rPr>
                <w:rFonts w:ascii="Aptos" w:hAnsi="Aptos"/>
                <w:color w:val="000000"/>
                <w:sz w:val="17"/>
              </w:rPr>
              <w:t>Reduce the safety, compliance, reliability, and cost risks created when regulated customer service applications send every user query directly to a large language model.</w:t>
            </w:r>
          </w:p>
        </w:tc>
      </w:tr>
      <w:tr>
        <w:tc>
          <w:tcPr>
            <w:tcW w:type="dxa" w:w="2160"/>
            <w:vAlign w:val="center"/>
            <w:tcMar>
              <w:top w:w="90" w:type="dxa"/>
              <w:start w:w="110" w:type="dxa"/>
              <w:bottom w:w="90" w:type="dxa"/>
              <w:end w:w="110" w:type="dxa"/>
            </w:tcMar>
            <w:shd w:fill="F5F9FC"/>
          </w:tcPr>
          <w:p>
            <w:pPr>
              <w:spacing w:after="0" w:line="240" w:lineRule="auto"/>
            </w:pPr>
            <w:r>
              <w:rPr>
                <w:rFonts w:ascii="Aptos" w:hAnsi="Aptos"/>
                <w:color w:val="000000"/>
                <w:sz w:val="17"/>
              </w:rPr>
              <w:t>Proposed capability</w:t>
            </w:r>
          </w:p>
        </w:tc>
        <w:tc>
          <w:tcPr>
            <w:tcW w:type="dxa" w:w="7272"/>
            <w:vAlign w:val="center"/>
            <w:tcMar>
              <w:top w:w="90" w:type="dxa"/>
              <w:start w:w="110" w:type="dxa"/>
              <w:bottom w:w="90" w:type="dxa"/>
              <w:end w:w="110" w:type="dxa"/>
            </w:tcMar>
            <w:shd w:fill="F5F9FC"/>
          </w:tcPr>
          <w:p>
            <w:pPr>
              <w:spacing w:after="0" w:line="240" w:lineRule="auto"/>
            </w:pPr>
            <w:r>
              <w:rPr>
                <w:rFonts w:ascii="Aptos" w:hAnsi="Aptos"/>
                <w:color w:val="000000"/>
                <w:sz w:val="17"/>
              </w:rPr>
              <w:t>A control layer that removes sensitive data, evaluates risk, applies policy, reuses approved responses, routes eligible requests, and records every decision.</w:t>
            </w:r>
          </w:p>
        </w:tc>
      </w:tr>
      <w:tr>
        <w:tc>
          <w:tcPr>
            <w:tcW w:type="dxa" w:w="2160"/>
            <w:vAlign w:val="center"/>
            <w:tcMar>
              <w:top w:w="90" w:type="dxa"/>
              <w:start w:w="110" w:type="dxa"/>
              <w:bottom w:w="90" w:type="dxa"/>
              <w:end w:w="110" w:type="dxa"/>
            </w:tcMar>
          </w:tcPr>
          <w:p>
            <w:pPr>
              <w:spacing w:after="0" w:line="240" w:lineRule="auto"/>
              <w:jc w:val="center"/>
            </w:pPr>
            <w:r>
              <w:rPr>
                <w:rFonts w:ascii="Aptos" w:hAnsi="Aptos"/>
                <w:color w:val="000000"/>
                <w:sz w:val="17"/>
              </w:rPr>
              <w:t>Initial domain</w:t>
            </w:r>
          </w:p>
        </w:tc>
        <w:tc>
          <w:tcPr>
            <w:tcW w:type="dxa" w:w="7272"/>
            <w:vAlign w:val="center"/>
            <w:tcMar>
              <w:top w:w="90" w:type="dxa"/>
              <w:start w:w="110" w:type="dxa"/>
              <w:bottom w:w="90" w:type="dxa"/>
              <w:end w:w="110" w:type="dxa"/>
            </w:tcMar>
          </w:tcPr>
          <w:p>
            <w:pPr>
              <w:spacing w:after="0" w:line="240" w:lineRule="auto"/>
            </w:pPr>
            <w:r>
              <w:rPr>
                <w:rFonts w:ascii="Aptos" w:hAnsi="Aptos"/>
                <w:color w:val="000000"/>
                <w:sz w:val="17"/>
              </w:rPr>
              <w:t>Retail banking support, pending advisor approval.</w:t>
            </w:r>
          </w:p>
        </w:tc>
      </w:tr>
      <w:tr>
        <w:tc>
          <w:tcPr>
            <w:tcW w:type="dxa" w:w="216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Primary users</w:t>
            </w:r>
          </w:p>
        </w:tc>
        <w:tc>
          <w:tcPr>
            <w:tcW w:type="dxa" w:w="7272"/>
            <w:vAlign w:val="center"/>
            <w:tcMar>
              <w:top w:w="90" w:type="dxa"/>
              <w:start w:w="110" w:type="dxa"/>
              <w:bottom w:w="90" w:type="dxa"/>
              <w:end w:w="110" w:type="dxa"/>
            </w:tcMar>
            <w:shd w:fill="F5F9FC"/>
          </w:tcPr>
          <w:p>
            <w:pPr>
              <w:spacing w:after="0" w:line="240" w:lineRule="auto"/>
            </w:pPr>
            <w:r>
              <w:rPr>
                <w:rFonts w:ascii="Aptos" w:hAnsi="Aptos"/>
                <w:color w:val="000000"/>
                <w:sz w:val="17"/>
              </w:rPr>
              <w:t>Bank compliance, AI governance, and platform teams. Bank customers are indirect users of applications protected by the gateway.</w:t>
            </w:r>
          </w:p>
        </w:tc>
      </w:tr>
      <w:tr>
        <w:tc>
          <w:tcPr>
            <w:tcW w:type="dxa" w:w="2160"/>
            <w:vAlign w:val="center"/>
            <w:tcMar>
              <w:top w:w="90" w:type="dxa"/>
              <w:start w:w="110" w:type="dxa"/>
              <w:bottom w:w="90" w:type="dxa"/>
              <w:end w:w="110" w:type="dxa"/>
            </w:tcMar>
          </w:tcPr>
          <w:p>
            <w:pPr>
              <w:spacing w:after="0" w:line="240" w:lineRule="auto"/>
              <w:jc w:val="center"/>
            </w:pPr>
            <w:r>
              <w:rPr>
                <w:rFonts w:ascii="Aptos" w:hAnsi="Aptos"/>
                <w:color w:val="000000"/>
                <w:sz w:val="17"/>
              </w:rPr>
              <w:t>Primary outcome</w:t>
            </w:r>
          </w:p>
        </w:tc>
        <w:tc>
          <w:tcPr>
            <w:tcW w:type="dxa" w:w="7272"/>
            <w:vAlign w:val="center"/>
            <w:tcMar>
              <w:top w:w="90" w:type="dxa"/>
              <w:start w:w="110" w:type="dxa"/>
              <w:bottom w:w="90" w:type="dxa"/>
              <w:end w:w="110" w:type="dxa"/>
            </w:tcMar>
          </w:tcPr>
          <w:p>
            <w:pPr>
              <w:spacing w:after="0" w:line="240" w:lineRule="auto"/>
            </w:pPr>
            <w:r>
              <w:rPr>
                <w:rFonts w:ascii="Aptos" w:hAnsi="Aptos"/>
                <w:color w:val="000000"/>
                <w:sz w:val="17"/>
              </w:rPr>
              <w:t>Demonstrate safer and less expensive handling of a representative workload without relying on live calls to expensive model tiers.</w:t>
            </w:r>
          </w:p>
        </w:tc>
      </w:tr>
      <w:tr>
        <w:tc>
          <w:tcPr>
            <w:tcW w:type="dxa" w:w="216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December outputs</w:t>
            </w:r>
          </w:p>
        </w:tc>
        <w:tc>
          <w:tcPr>
            <w:tcW w:type="dxa" w:w="7272"/>
            <w:vAlign w:val="center"/>
            <w:tcMar>
              <w:top w:w="90" w:type="dxa"/>
              <w:start w:w="110" w:type="dxa"/>
              <w:bottom w:w="90" w:type="dxa"/>
              <w:end w:w="110" w:type="dxa"/>
            </w:tcMar>
            <w:shd w:fill="F5F9FC"/>
          </w:tcPr>
          <w:p>
            <w:pPr>
              <w:spacing w:after="0" w:line="240" w:lineRule="auto"/>
            </w:pPr>
            <w:r>
              <w:rPr>
                <w:rFonts w:ascii="Aptos" w:hAnsi="Aptos"/>
                <w:color w:val="000000"/>
                <w:sz w:val="17"/>
              </w:rPr>
              <w:t>Python package, Streamlit demonstration, evaluation results, architecture diagram, repository documentation, and auditable decision records.</w:t>
            </w:r>
          </w:p>
        </w:tc>
      </w:tr>
    </w:tbl>
    <w:p>
      <w:pPr>
        <w:spacing w:after="20"/>
        <w:widowControl/>
      </w:pPr>
    </w:p>
    <w:p>
      <w:pPr>
        <w:pStyle w:val="Heading2"/>
      </w:pPr>
      <w:r>
        <w:t>Source and requirement status</w:t>
      </w:r>
    </w:p>
    <w:p>
      <w:pPr>
        <w:keepLines w:val="0"/>
        <w:widowControl/>
      </w:pPr>
      <w:r>
        <w:rPr>
          <w:rFonts w:ascii="Aptos" w:hAnsi="Aptos"/>
          <w:i w:val="0"/>
          <w:color w:val="000000"/>
        </w:rPr>
        <w:t>Statements in the project overview are treated as sponsor-level challenge requirements. The team summary supplies the proposed banking interpretation and implementation plan. Where the two differ, this BRD preserves the overview target and marks the team proposal for confirmation. Draft ideas are not treated as approved policy or production commitments.</w:t>
      </w:r>
    </w:p>
    <w:p>
      <w:pPr>
        <w:widowControl/>
      </w:pPr>
      <w:r>
        <w:br w:type="page"/>
      </w:r>
    </w:p>
    <w:p>
      <w:pPr>
        <w:pStyle w:val="Heading1"/>
      </w:pPr>
      <w:r>
        <w:t>Business context</w:t>
      </w:r>
    </w:p>
    <w:p>
      <w:pPr>
        <w:pStyle w:val="Heading2"/>
      </w:pPr>
      <w:r>
        <w:t>Problem statement</w:t>
      </w:r>
    </w:p>
    <w:p>
      <w:pPr>
        <w:keepLines w:val="0"/>
        <w:widowControl/>
      </w:pPr>
      <w:r>
        <w:rPr>
          <w:rFonts w:ascii="Aptos" w:hAnsi="Aptos"/>
          <w:i w:val="0"/>
          <w:color w:val="000000"/>
        </w:rPr>
        <w:t>A regulated customer service application may expose sensitive customer data, unsafe requests, inconsistent answers, unnecessary model usage, and incomplete evidence of how an AI decision was made. Sending every request to the most capable model increases cost and does not by itself resolve safety or auditability. The business needs a governed control point before model execution.</w:t>
      </w:r>
    </w:p>
    <w:p>
      <w:pPr>
        <w:pStyle w:val="Heading2"/>
      </w:pPr>
      <w:r>
        <w:t>Business opportunity</w:t>
      </w:r>
    </w:p>
    <w:p>
      <w:pPr>
        <w:keepLines w:val="0"/>
        <w:widowControl/>
      </w:pPr>
      <w:r>
        <w:rPr>
          <w:rFonts w:ascii="Aptos" w:hAnsi="Aptos"/>
          <w:i w:val="0"/>
          <w:color w:val="000000"/>
        </w:rPr>
        <w:t>The gateway can prevent disallowed prompts from reaching a model, remove personal information, reuse valid prior responses, and select a lower-cost model tier when the request does not require the most capable option. A structured decision record can give compliance and platform teams evidence of how each request was handled.</w:t>
      </w:r>
    </w:p>
    <w:p>
      <w:pPr>
        <w:pStyle w:val="Heading2"/>
      </w:pPr>
      <w:r>
        <w:t>Business objectives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08"/>
            <w:shd w:fill="18324A"/>
            <w:tcMar>
              <w:top w:w="90" w:type="dxa"/>
              <w:start w:w="110" w:type="dxa"/>
              <w:bottom w:w="90" w:type="dxa"/>
              <w:end w:w="110" w:type="dxa"/>
            </w:tcMar>
            <w:vAlign w:val="center"/>
          </w:tcPr>
          <w:p>
            <w:pPr>
              <w:spacing w:after="0"/>
              <w:jc w:val="center"/>
            </w:pPr>
            <w:r>
              <w:rPr>
                <w:rFonts w:ascii="Aptos" w:hAnsi="Aptos"/>
                <w:b/>
                <w:color w:val="FFFFFF"/>
                <w:sz w:val="17"/>
              </w:rPr>
              <w:t>ID</w:t>
            </w:r>
          </w:p>
        </w:tc>
        <w:tc>
          <w:tcPr>
            <w:tcW w:type="dxa" w:w="3312"/>
            <w:shd w:fill="18324A"/>
            <w:tcMar>
              <w:top w:w="90" w:type="dxa"/>
              <w:start w:w="110" w:type="dxa"/>
              <w:bottom w:w="90" w:type="dxa"/>
              <w:end w:w="110" w:type="dxa"/>
            </w:tcMar>
            <w:vAlign w:val="center"/>
          </w:tcPr>
          <w:p>
            <w:pPr>
              <w:spacing w:after="0"/>
              <w:jc w:val="center"/>
            </w:pPr>
            <w:r>
              <w:rPr>
                <w:rFonts w:ascii="Aptos" w:hAnsi="Aptos"/>
                <w:b/>
                <w:color w:val="FFFFFF"/>
                <w:sz w:val="17"/>
              </w:rPr>
              <w:t>Objective</w:t>
            </w:r>
          </w:p>
        </w:tc>
        <w:tc>
          <w:tcPr>
            <w:tcW w:type="dxa" w:w="5112"/>
            <w:shd w:fill="18324A"/>
            <w:tcMar>
              <w:top w:w="90" w:type="dxa"/>
              <w:start w:w="110" w:type="dxa"/>
              <w:bottom w:w="90" w:type="dxa"/>
              <w:end w:w="110" w:type="dxa"/>
            </w:tcMar>
            <w:vAlign w:val="center"/>
          </w:tcPr>
          <w:p>
            <w:pPr>
              <w:spacing w:after="0"/>
              <w:jc w:val="center"/>
            </w:pPr>
            <w:r>
              <w:rPr>
                <w:rFonts w:ascii="Aptos" w:hAnsi="Aptos"/>
                <w:b/>
                <w:color w:val="FFFFFF"/>
                <w:sz w:val="17"/>
              </w:rPr>
              <w:t>Measure</w:t>
            </w:r>
          </w:p>
        </w:tc>
      </w:tr>
      <w:tr>
        <w:tc>
          <w:tcPr>
            <w:tcW w:type="dxa" w:w="1008"/>
            <w:vAlign w:val="center"/>
            <w:tcMar>
              <w:top w:w="90" w:type="dxa"/>
              <w:start w:w="110" w:type="dxa"/>
              <w:bottom w:w="90" w:type="dxa"/>
              <w:end w:w="110" w:type="dxa"/>
            </w:tcMar>
          </w:tcPr>
          <w:p>
            <w:pPr>
              <w:spacing w:after="0" w:line="240" w:lineRule="auto"/>
              <w:jc w:val="center"/>
            </w:pPr>
            <w:r>
              <w:rPr>
                <w:rFonts w:ascii="Aptos" w:hAnsi="Aptos"/>
                <w:color w:val="000000"/>
                <w:sz w:val="16"/>
              </w:rPr>
              <w:t>BO 01</w:t>
            </w:r>
          </w:p>
        </w:tc>
        <w:tc>
          <w:tcPr>
            <w:tcW w:type="dxa" w:w="3312"/>
            <w:vAlign w:val="center"/>
            <w:tcMar>
              <w:top w:w="90" w:type="dxa"/>
              <w:start w:w="110" w:type="dxa"/>
              <w:bottom w:w="90" w:type="dxa"/>
              <w:end w:w="110" w:type="dxa"/>
            </w:tcMar>
          </w:tcPr>
          <w:p>
            <w:pPr>
              <w:spacing w:after="0" w:line="240" w:lineRule="auto"/>
            </w:pPr>
            <w:r>
              <w:rPr>
                <w:rFonts w:ascii="Aptos" w:hAnsi="Aptos"/>
                <w:color w:val="000000"/>
                <w:sz w:val="16"/>
              </w:rPr>
              <w:t>Improve prompt safety and governance classification</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Accuracy, precision, recall, and F1 score, with a target of at least 80 percent F1 for prompt-risk classification.</w:t>
            </w:r>
          </w:p>
        </w:tc>
      </w:tr>
      <w:tr>
        <w:tc>
          <w:tcPr>
            <w:tcW w:type="dxa" w:w="100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BO 02</w:t>
            </w:r>
          </w:p>
        </w:tc>
        <w:tc>
          <w:tcPr>
            <w:tcW w:type="dxa" w:w="3312"/>
            <w:vAlign w:val="center"/>
            <w:tcMar>
              <w:top w:w="90" w:type="dxa"/>
              <w:start w:w="110" w:type="dxa"/>
              <w:bottom w:w="90" w:type="dxa"/>
              <w:end w:w="110" w:type="dxa"/>
            </w:tcMar>
            <w:shd w:fill="F5F9FC"/>
          </w:tcPr>
          <w:p>
            <w:pPr>
              <w:spacing w:after="0" w:line="240" w:lineRule="auto"/>
            </w:pPr>
            <w:r>
              <w:rPr>
                <w:rFonts w:ascii="Aptos" w:hAnsi="Aptos"/>
                <w:color w:val="000000"/>
                <w:sz w:val="16"/>
              </w:rPr>
              <w:t>Reduce input token usage for eligible prompts</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Compare original and optimized token counts; target 30 to 50 percent reduction where optimization is applied.</w:t>
            </w:r>
          </w:p>
        </w:tc>
      </w:tr>
      <w:tr>
        <w:tc>
          <w:tcPr>
            <w:tcW w:type="dxa" w:w="1008"/>
            <w:vAlign w:val="center"/>
            <w:tcMar>
              <w:top w:w="90" w:type="dxa"/>
              <w:start w:w="110" w:type="dxa"/>
              <w:bottom w:w="90" w:type="dxa"/>
              <w:end w:w="110" w:type="dxa"/>
            </w:tcMar>
          </w:tcPr>
          <w:p>
            <w:pPr>
              <w:spacing w:after="0" w:line="240" w:lineRule="auto"/>
              <w:jc w:val="center"/>
            </w:pPr>
            <w:r>
              <w:rPr>
                <w:rFonts w:ascii="Aptos" w:hAnsi="Aptos"/>
                <w:color w:val="000000"/>
                <w:sz w:val="16"/>
              </w:rPr>
              <w:t>BO 03</w:t>
            </w:r>
          </w:p>
        </w:tc>
        <w:tc>
          <w:tcPr>
            <w:tcW w:type="dxa" w:w="3312"/>
            <w:vAlign w:val="center"/>
            <w:tcMar>
              <w:top w:w="90" w:type="dxa"/>
              <w:start w:w="110" w:type="dxa"/>
              <w:bottom w:w="90" w:type="dxa"/>
              <w:end w:w="110" w:type="dxa"/>
            </w:tcMar>
          </w:tcPr>
          <w:p>
            <w:pPr>
              <w:spacing w:after="0" w:line="240" w:lineRule="auto"/>
            </w:pPr>
            <w:r>
              <w:rPr>
                <w:rFonts w:ascii="Aptos" w:hAnsi="Aptos"/>
                <w:color w:val="000000"/>
                <w:sz w:val="16"/>
              </w:rPr>
              <w:t>Reduce estimated model cost</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Compare the governed workload with a baseline that sends every eligible query to the highest-cost model tier.</w:t>
            </w:r>
          </w:p>
        </w:tc>
      </w:tr>
      <w:tr>
        <w:tc>
          <w:tcPr>
            <w:tcW w:type="dxa" w:w="100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BO 04</w:t>
            </w:r>
          </w:p>
        </w:tc>
        <w:tc>
          <w:tcPr>
            <w:tcW w:type="dxa" w:w="3312"/>
            <w:vAlign w:val="center"/>
            <w:tcMar>
              <w:top w:w="90" w:type="dxa"/>
              <w:start w:w="110" w:type="dxa"/>
              <w:bottom w:w="90" w:type="dxa"/>
              <w:end w:w="110" w:type="dxa"/>
            </w:tcMar>
            <w:shd w:fill="F5F9FC"/>
          </w:tcPr>
          <w:p>
            <w:pPr>
              <w:spacing w:after="0" w:line="240" w:lineRule="auto"/>
            </w:pPr>
            <w:r>
              <w:rPr>
                <w:rFonts w:ascii="Aptos" w:hAnsi="Aptos"/>
                <w:color w:val="000000"/>
                <w:sz w:val="16"/>
              </w:rPr>
              <w:t>Reuse suitable prior answers without unsafe substitutions</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Report cache hit rate plus cache precision and recall against Banking77 intent labels and threshold sweeps.</w:t>
            </w:r>
          </w:p>
        </w:tc>
      </w:tr>
      <w:tr>
        <w:tc>
          <w:tcPr>
            <w:tcW w:type="dxa" w:w="1008"/>
            <w:vAlign w:val="center"/>
            <w:tcMar>
              <w:top w:w="90" w:type="dxa"/>
              <w:start w:w="110" w:type="dxa"/>
              <w:bottom w:w="90" w:type="dxa"/>
              <w:end w:w="110" w:type="dxa"/>
            </w:tcMar>
          </w:tcPr>
          <w:p>
            <w:pPr>
              <w:spacing w:after="0" w:line="240" w:lineRule="auto"/>
              <w:jc w:val="center"/>
            </w:pPr>
            <w:r>
              <w:rPr>
                <w:rFonts w:ascii="Aptos" w:hAnsi="Aptos"/>
                <w:color w:val="000000"/>
                <w:sz w:val="16"/>
              </w:rPr>
              <w:t>BO 05</w:t>
            </w:r>
          </w:p>
        </w:tc>
        <w:tc>
          <w:tcPr>
            <w:tcW w:type="dxa" w:w="3312"/>
            <w:vAlign w:val="center"/>
            <w:tcMar>
              <w:top w:w="90" w:type="dxa"/>
              <w:start w:w="110" w:type="dxa"/>
              <w:bottom w:w="90" w:type="dxa"/>
              <w:end w:w="110" w:type="dxa"/>
            </w:tcMar>
          </w:tcPr>
          <w:p>
            <w:pPr>
              <w:spacing w:after="0" w:line="240" w:lineRule="auto"/>
            </w:pPr>
            <w:r>
              <w:rPr>
                <w:rFonts w:ascii="Aptos" w:hAnsi="Aptos"/>
                <w:color w:val="000000"/>
                <w:sz w:val="16"/>
              </w:rPr>
              <w:t>Provide an auditable governance layer</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Create one structured decision record for every processed request, including stopped and cached requests.</w:t>
            </w:r>
          </w:p>
        </w:tc>
      </w:tr>
      <w:tr>
        <w:tc>
          <w:tcPr>
            <w:tcW w:type="dxa" w:w="100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BO 06</w:t>
            </w:r>
          </w:p>
        </w:tc>
        <w:tc>
          <w:tcPr>
            <w:tcW w:type="dxa" w:w="3312"/>
            <w:vAlign w:val="center"/>
            <w:tcMar>
              <w:top w:w="90" w:type="dxa"/>
              <w:start w:w="110" w:type="dxa"/>
              <w:bottom w:w="90" w:type="dxa"/>
              <w:end w:w="110" w:type="dxa"/>
            </w:tcMar>
            <w:shd w:fill="F5F9FC"/>
          </w:tcPr>
          <w:p>
            <w:pPr>
              <w:spacing w:after="0" w:line="240" w:lineRule="auto"/>
            </w:pPr>
            <w:r>
              <w:rPr>
                <w:rFonts w:ascii="Aptos" w:hAnsi="Aptos"/>
                <w:color w:val="000000"/>
                <w:sz w:val="16"/>
              </w:rPr>
              <w:t>Demonstrate a complete workflow</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Show risk classification, policy outcome, cache status, routing, token and cost estimates, and the final or simulated response.</w:t>
            </w:r>
          </w:p>
        </w:tc>
      </w:tr>
    </w:tbl>
    <w:p>
      <w:pPr>
        <w:spacing w:after="20"/>
        <w:widowControl/>
      </w:pPr>
    </w:p>
    <w:p>
      <w:pPr>
        <w:pStyle w:val="Heading2"/>
      </w:pPr>
      <w:r>
        <w:t>Business value hypothesis</w:t>
      </w:r>
    </w:p>
    <w:p>
      <w:pPr>
        <w:keepLines w:val="0"/>
        <w:widowControl/>
      </w:pPr>
      <w:r>
        <w:rPr>
          <w:rFonts w:ascii="Aptos" w:hAnsi="Aptos"/>
          <w:i w:val="0"/>
          <w:color w:val="000000"/>
        </w:rPr>
        <w:t>The project will test whether a lightweight gateway can lower estimated spend and improve control without making an LLM call for every governance decision. The demonstration is an evaluation prototype. It will not establish production readiness, legal compliance, or realized savings.</w:t>
      </w:r>
    </w:p>
    <w:p>
      <w:pPr>
        <w:widowControl/>
      </w:pPr>
      <w:r>
        <w:br w:type="page"/>
      </w:r>
    </w:p>
    <w:p>
      <w:pPr>
        <w:pStyle w:val="Heading1"/>
      </w:pPr>
      <w:r>
        <w:t>Scope</w:t>
      </w:r>
    </w:p>
    <w:p>
      <w:pPr>
        <w:pStyle w:val="Heading2"/>
      </w:pPr>
      <w:r>
        <w:t>In scope</w:t>
      </w:r>
    </w:p>
    <w:p>
      <w:pPr>
        <w:pStyle w:val="ListBullet"/>
        <w:spacing w:after="60"/>
      </w:pPr>
      <w:r>
        <w:rPr>
          <w:rFonts w:ascii="Aptos" w:hAnsi="Aptos"/>
          <w:color w:val="000000"/>
          <w:sz w:val="20"/>
        </w:rPr>
        <w:t>Retail banking customer support queries as the primary demonstration domain, subject to advisor approval.</w:t>
      </w:r>
    </w:p>
    <w:p>
      <w:pPr>
        <w:pStyle w:val="ListBullet"/>
        <w:spacing w:after="60"/>
      </w:pPr>
      <w:r>
        <w:rPr>
          <w:rFonts w:ascii="Aptos" w:hAnsi="Aptos"/>
          <w:color w:val="000000"/>
          <w:sz w:val="20"/>
        </w:rPr>
        <w:t>Text cleanup and language detection for incoming prompts.</w:t>
      </w:r>
    </w:p>
    <w:p>
      <w:pPr>
        <w:pStyle w:val="ListBullet"/>
        <w:spacing w:after="60"/>
      </w:pPr>
      <w:r>
        <w:rPr>
          <w:rFonts w:ascii="Aptos" w:hAnsi="Aptos"/>
          <w:color w:val="000000"/>
          <w:sz w:val="20"/>
        </w:rPr>
        <w:t>Detection and masking of personal information, including account and card number patterns.</w:t>
      </w:r>
    </w:p>
    <w:p>
      <w:pPr>
        <w:pStyle w:val="ListBullet"/>
        <w:spacing w:after="60"/>
      </w:pPr>
      <w:r>
        <w:rPr>
          <w:rFonts w:ascii="Aptos" w:hAnsi="Aptos"/>
          <w:color w:val="000000"/>
          <w:sz w:val="20"/>
        </w:rPr>
        <w:t>Classification of toxic, jailbreak, harmful, and regulated-advice risks.</w:t>
      </w:r>
    </w:p>
    <w:p>
      <w:pPr>
        <w:pStyle w:val="ListBullet"/>
        <w:spacing w:after="60"/>
      </w:pPr>
      <w:r>
        <w:rPr>
          <w:rFonts w:ascii="Aptos" w:hAnsi="Aptos"/>
          <w:color w:val="000000"/>
          <w:sz w:val="20"/>
        </w:rPr>
        <w:t>Configurable policy rules that return ALLOW, BLOCK, or ESCALATE.</w:t>
      </w:r>
    </w:p>
    <w:p>
      <w:pPr>
        <w:pStyle w:val="ListBullet"/>
        <w:spacing w:after="60"/>
      </w:pPr>
      <w:r>
        <w:rPr>
          <w:rFonts w:ascii="Aptos" w:hAnsi="Aptos"/>
          <w:color w:val="000000"/>
          <w:sz w:val="20"/>
        </w:rPr>
        <w:t>Semantic cache lookup with similarity thresholds, correctness evaluation, and time-to-live rules by intent.</w:t>
      </w:r>
    </w:p>
    <w:p>
      <w:pPr>
        <w:pStyle w:val="ListBullet"/>
        <w:spacing w:after="60"/>
      </w:pPr>
      <w:r>
        <w:rPr>
          <w:rFonts w:ascii="Aptos" w:hAnsi="Aptos"/>
          <w:color w:val="000000"/>
          <w:sz w:val="20"/>
        </w:rPr>
        <w:t>Model-tier recommendation based on risk, complexity, intent, and estimated cost.</w:t>
      </w:r>
    </w:p>
    <w:p>
      <w:pPr>
        <w:pStyle w:val="ListBullet"/>
        <w:spacing w:after="60"/>
      </w:pPr>
      <w:r>
        <w:rPr>
          <w:rFonts w:ascii="Aptos" w:hAnsi="Aptos"/>
          <w:color w:val="000000"/>
          <w:sz w:val="20"/>
        </w:rPr>
        <w:t>Token counting, prompt optimization where eligible, and estimated cost accounting.</w:t>
      </w:r>
    </w:p>
    <w:p>
      <w:pPr>
        <w:pStyle w:val="ListBullet"/>
        <w:spacing w:after="60"/>
      </w:pPr>
      <w:r>
        <w:rPr>
          <w:rFonts w:ascii="Aptos" w:hAnsi="Aptos"/>
          <w:color w:val="000000"/>
          <w:sz w:val="20"/>
        </w:rPr>
        <w:t>A structured audit record for each request.</w:t>
      </w:r>
    </w:p>
    <w:p>
      <w:pPr>
        <w:pStyle w:val="ListBullet"/>
        <w:spacing w:after="60"/>
      </w:pPr>
      <w:r>
        <w:rPr>
          <w:rFonts w:ascii="Aptos" w:hAnsi="Aptos"/>
          <w:color w:val="000000"/>
          <w:sz w:val="20"/>
        </w:rPr>
        <w:t>A Python package, Streamlit demonstration, workload dashboard, evaluation report, architecture diagram, README, and limitations statement.</w:t>
      </w:r>
    </w:p>
    <w:p>
      <w:pPr>
        <w:pStyle w:val="ListBullet"/>
        <w:spacing w:after="60"/>
      </w:pPr>
      <w:r>
        <w:rPr>
          <w:rFonts w:ascii="Aptos" w:hAnsi="Aptos"/>
          <w:color w:val="000000"/>
          <w:sz w:val="20"/>
        </w:rPr>
        <w:t>Evaluation using public datasets and a team-authored banking attack set.</w:t>
      </w:r>
    </w:p>
    <w:p>
      <w:pPr>
        <w:pStyle w:val="Heading2"/>
      </w:pPr>
      <w:r>
        <w:t>Out of scope</w:t>
      </w:r>
    </w:p>
    <w:p>
      <w:pPr>
        <w:pStyle w:val="ListBullet"/>
        <w:spacing w:after="60"/>
      </w:pPr>
      <w:r>
        <w:rPr>
          <w:rFonts w:ascii="Aptos" w:hAnsi="Aptos"/>
          <w:color w:val="000000"/>
          <w:sz w:val="20"/>
        </w:rPr>
        <w:t>A customer-facing banking chatbot or production user interface.</w:t>
      </w:r>
    </w:p>
    <w:p>
      <w:pPr>
        <w:pStyle w:val="ListBullet"/>
        <w:spacing w:after="60"/>
      </w:pPr>
      <w:r>
        <w:rPr>
          <w:rFonts w:ascii="Aptos" w:hAnsi="Aptos"/>
          <w:color w:val="000000"/>
          <w:sz w:val="20"/>
        </w:rPr>
        <w:t>Legal advice or certification that the gateway complies with banking laws or regulations.</w:t>
      </w:r>
    </w:p>
    <w:p>
      <w:pPr>
        <w:pStyle w:val="ListBullet"/>
        <w:spacing w:after="60"/>
      </w:pPr>
      <w:r>
        <w:rPr>
          <w:rFonts w:ascii="Aptos" w:hAnsi="Aptos"/>
          <w:color w:val="000000"/>
          <w:sz w:val="20"/>
        </w:rPr>
        <w:t>Deployment to a bank production environment or integration with live customer accounts.</w:t>
      </w:r>
    </w:p>
    <w:p>
      <w:pPr>
        <w:pStyle w:val="ListBullet"/>
        <w:spacing w:after="60"/>
      </w:pPr>
      <w:r>
        <w:rPr>
          <w:rFonts w:ascii="Aptos" w:hAnsi="Aptos"/>
          <w:color w:val="000000"/>
          <w:sz w:val="20"/>
        </w:rPr>
        <w:t>Storage or processing of real customer personal data.</w:t>
      </w:r>
    </w:p>
    <w:p>
      <w:pPr>
        <w:pStyle w:val="ListBullet"/>
        <w:spacing w:after="60"/>
      </w:pPr>
      <w:r>
        <w:rPr>
          <w:rFonts w:ascii="Aptos" w:hAnsi="Aptos"/>
          <w:color w:val="000000"/>
          <w:sz w:val="20"/>
        </w:rPr>
        <w:t>Large-scale live calls to commercial model APIs for evaluation.</w:t>
      </w:r>
    </w:p>
    <w:p>
      <w:pPr>
        <w:pStyle w:val="ListBullet"/>
        <w:spacing w:after="60"/>
      </w:pPr>
      <w:r>
        <w:rPr>
          <w:rFonts w:ascii="Aptos" w:hAnsi="Aptos"/>
          <w:color w:val="000000"/>
          <w:sz w:val="20"/>
        </w:rPr>
        <w:t>A guarantee that masked, blocked, cached, or generated content is error-free.</w:t>
      </w:r>
    </w:p>
    <w:p>
      <w:pPr>
        <w:pStyle w:val="ListBullet"/>
        <w:spacing w:after="60"/>
      </w:pPr>
      <w:r>
        <w:rPr>
          <w:rFonts w:ascii="Aptos" w:hAnsi="Aptos"/>
          <w:color w:val="000000"/>
          <w:sz w:val="20"/>
        </w:rPr>
        <w:t>Full jurisdiction-specific policy profiles unless selected as a stretch goal.</w:t>
      </w:r>
    </w:p>
    <w:p>
      <w:pPr>
        <w:pStyle w:val="ListBullet"/>
        <w:spacing w:after="60"/>
      </w:pPr>
      <w:r>
        <w:rPr>
          <w:rFonts w:ascii="Aptos" w:hAnsi="Aptos"/>
          <w:color w:val="000000"/>
          <w:sz w:val="20"/>
        </w:rPr>
        <w:t>A comprehensive automated testing product unless selected as a stretch goal.</w:t>
      </w:r>
    </w:p>
    <w:p>
      <w:pPr>
        <w:pStyle w:val="Heading2"/>
      </w:pPr>
      <w:r>
        <w:t>Scope priorities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512"/>
            <w:shd w:fill="18324A"/>
            <w:tcMar>
              <w:top w:w="90" w:type="dxa"/>
              <w:start w:w="110" w:type="dxa"/>
              <w:bottom w:w="90" w:type="dxa"/>
              <w:end w:w="110" w:type="dxa"/>
            </w:tcMar>
            <w:vAlign w:val="center"/>
          </w:tcPr>
          <w:p>
            <w:pPr>
              <w:spacing w:after="0"/>
              <w:jc w:val="center"/>
            </w:pPr>
            <w:r>
              <w:rPr>
                <w:rFonts w:ascii="Aptos" w:hAnsi="Aptos"/>
                <w:b/>
                <w:color w:val="FFFFFF"/>
                <w:sz w:val="18"/>
              </w:rPr>
              <w:t>Priority</w:t>
            </w:r>
          </w:p>
        </w:tc>
        <w:tc>
          <w:tcPr>
            <w:tcW w:type="dxa" w:w="7920"/>
            <w:shd w:fill="18324A"/>
            <w:tcMar>
              <w:top w:w="90" w:type="dxa"/>
              <w:start w:w="110" w:type="dxa"/>
              <w:bottom w:w="90" w:type="dxa"/>
              <w:end w:w="110" w:type="dxa"/>
            </w:tcMar>
            <w:vAlign w:val="center"/>
          </w:tcPr>
          <w:p>
            <w:pPr>
              <w:spacing w:after="0"/>
              <w:jc w:val="center"/>
            </w:pPr>
            <w:r>
              <w:rPr>
                <w:rFonts w:ascii="Aptos" w:hAnsi="Aptos"/>
                <w:b/>
                <w:color w:val="FFFFFF"/>
                <w:sz w:val="18"/>
              </w:rPr>
              <w:t>Capability</w:t>
            </w:r>
          </w:p>
        </w:tc>
      </w:tr>
      <w:tr>
        <w:tc>
          <w:tcPr>
            <w:tcW w:type="dxa" w:w="1512"/>
            <w:vAlign w:val="center"/>
            <w:tcMar>
              <w:top w:w="90" w:type="dxa"/>
              <w:start w:w="110" w:type="dxa"/>
              <w:bottom w:w="90" w:type="dxa"/>
              <w:end w:w="110" w:type="dxa"/>
            </w:tcMar>
          </w:tcPr>
          <w:p>
            <w:pPr>
              <w:spacing w:after="0" w:line="240" w:lineRule="auto"/>
              <w:jc w:val="center"/>
            </w:pPr>
            <w:r>
              <w:rPr>
                <w:rFonts w:ascii="Aptos" w:hAnsi="Aptos"/>
                <w:color w:val="000000"/>
                <w:sz w:val="17"/>
              </w:rPr>
              <w:t>Must</w:t>
            </w:r>
          </w:p>
        </w:tc>
        <w:tc>
          <w:tcPr>
            <w:tcW w:type="dxa" w:w="7920"/>
            <w:vAlign w:val="center"/>
            <w:tcMar>
              <w:top w:w="90" w:type="dxa"/>
              <w:start w:w="110" w:type="dxa"/>
              <w:bottom w:w="90" w:type="dxa"/>
              <w:end w:w="110" w:type="dxa"/>
            </w:tcMar>
          </w:tcPr>
          <w:p>
            <w:pPr>
              <w:spacing w:after="0" w:line="240" w:lineRule="auto"/>
            </w:pPr>
            <w:r>
              <w:rPr>
                <w:rFonts w:ascii="Aptos" w:hAnsi="Aptos"/>
                <w:color w:val="000000"/>
                <w:sz w:val="17"/>
              </w:rPr>
              <w:t>End-to-end pipeline, decision record, safety evaluation, policy outcomes, cache correctness, token and cost accounting, demonstration dashboard.</w:t>
            </w:r>
          </w:p>
        </w:tc>
      </w:tr>
      <w:tr>
        <w:tc>
          <w:tcPr>
            <w:tcW w:type="dxa" w:w="151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Should</w:t>
            </w:r>
          </w:p>
        </w:tc>
        <w:tc>
          <w:tcPr>
            <w:tcW w:type="dxa" w:w="7920"/>
            <w:vAlign w:val="center"/>
            <w:tcMar>
              <w:top w:w="90" w:type="dxa"/>
              <w:start w:w="110" w:type="dxa"/>
              <w:bottom w:w="90" w:type="dxa"/>
              <w:end w:w="110" w:type="dxa"/>
            </w:tcMar>
            <w:shd w:fill="F5F9FC"/>
          </w:tcPr>
          <w:p>
            <w:pPr>
              <w:spacing w:after="0" w:line="240" w:lineRule="auto"/>
            </w:pPr>
            <w:r>
              <w:rPr>
                <w:rFonts w:ascii="Aptos" w:hAnsi="Aptos"/>
                <w:color w:val="000000"/>
                <w:sz w:val="17"/>
              </w:rPr>
              <w:t>Fine-tuned lightweight classifier, intent-based cache time-to-live rules, tier recommendation, prompt optimization for eligible prompts.</w:t>
            </w:r>
          </w:p>
        </w:tc>
      </w:tr>
      <w:tr>
        <w:tc>
          <w:tcPr>
            <w:tcW w:type="dxa" w:w="1512"/>
            <w:vAlign w:val="center"/>
            <w:tcMar>
              <w:top w:w="90" w:type="dxa"/>
              <w:start w:w="110" w:type="dxa"/>
              <w:bottom w:w="90" w:type="dxa"/>
              <w:end w:w="110" w:type="dxa"/>
            </w:tcMar>
          </w:tcPr>
          <w:p>
            <w:pPr>
              <w:spacing w:after="0" w:line="240" w:lineRule="auto"/>
              <w:jc w:val="center"/>
            </w:pPr>
            <w:r>
              <w:rPr>
                <w:rFonts w:ascii="Aptos" w:hAnsi="Aptos"/>
                <w:color w:val="000000"/>
                <w:sz w:val="17"/>
              </w:rPr>
              <w:t>Could</w:t>
            </w:r>
          </w:p>
        </w:tc>
        <w:tc>
          <w:tcPr>
            <w:tcW w:type="dxa" w:w="7920"/>
            <w:vAlign w:val="center"/>
            <w:tcMar>
              <w:top w:w="90" w:type="dxa"/>
              <w:start w:w="110" w:type="dxa"/>
              <w:bottom w:w="90" w:type="dxa"/>
              <w:end w:w="110" w:type="dxa"/>
            </w:tcMar>
          </w:tcPr>
          <w:p>
            <w:pPr>
              <w:spacing w:after="0" w:line="240" w:lineRule="auto"/>
            </w:pPr>
            <w:r>
              <w:rPr>
                <w:rFonts w:ascii="Aptos" w:hAnsi="Aptos"/>
                <w:color w:val="000000"/>
                <w:sz w:val="17"/>
              </w:rPr>
              <w:t>Jurisdiction-aware policy profiles and automated prompt test harness.</w:t>
            </w:r>
          </w:p>
        </w:tc>
      </w:tr>
      <w:tr>
        <w:tc>
          <w:tcPr>
            <w:tcW w:type="dxa" w:w="151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Will not now</w:t>
            </w:r>
          </w:p>
        </w:tc>
        <w:tc>
          <w:tcPr>
            <w:tcW w:type="dxa" w:w="7920"/>
            <w:vAlign w:val="center"/>
            <w:tcMar>
              <w:top w:w="90" w:type="dxa"/>
              <w:start w:w="110" w:type="dxa"/>
              <w:bottom w:w="90" w:type="dxa"/>
              <w:end w:w="110" w:type="dxa"/>
            </w:tcMar>
            <w:shd w:fill="F5F9FC"/>
          </w:tcPr>
          <w:p>
            <w:pPr>
              <w:spacing w:after="0" w:line="240" w:lineRule="auto"/>
            </w:pPr>
            <w:r>
              <w:rPr>
                <w:rFonts w:ascii="Aptos" w:hAnsi="Aptos"/>
                <w:color w:val="000000"/>
                <w:sz w:val="17"/>
              </w:rPr>
              <w:t>Production deployment, live bank integration, or legal compliance certification.</w:t>
            </w:r>
          </w:p>
        </w:tc>
      </w:tr>
    </w:tbl>
    <w:p>
      <w:pPr>
        <w:spacing w:after="20"/>
        <w:widowControl/>
      </w:pPr>
    </w:p>
    <w:p>
      <w:pPr>
        <w:widowControl/>
      </w:pPr>
      <w:r>
        <w:br w:type="page"/>
      </w:r>
    </w:p>
    <w:p>
      <w:pPr>
        <w:pStyle w:val="Heading1"/>
      </w:pPr>
      <w:r>
        <w:t>Stakeholders and users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8324A"/>
            <w:tcMar>
              <w:top w:w="90" w:type="dxa"/>
              <w:start w:w="110" w:type="dxa"/>
              <w:bottom w:w="90" w:type="dxa"/>
              <w:end w:w="110" w:type="dxa"/>
            </w:tcMar>
            <w:vAlign w:val="center"/>
          </w:tcPr>
          <w:p>
            <w:pPr>
              <w:spacing w:after="0"/>
              <w:jc w:val="center"/>
            </w:pPr>
            <w:r>
              <w:rPr>
                <w:rFonts w:ascii="Aptos" w:hAnsi="Aptos"/>
                <w:b/>
                <w:color w:val="FFFFFF"/>
                <w:sz w:val="18"/>
              </w:rPr>
              <w:t>Stakeholder</w:t>
            </w:r>
          </w:p>
        </w:tc>
        <w:tc>
          <w:tcPr>
            <w:tcW w:type="dxa" w:w="6552"/>
            <w:shd w:fill="18324A"/>
            <w:tcMar>
              <w:top w:w="90" w:type="dxa"/>
              <w:start w:w="110" w:type="dxa"/>
              <w:bottom w:w="90" w:type="dxa"/>
              <w:end w:w="110" w:type="dxa"/>
            </w:tcMar>
            <w:vAlign w:val="center"/>
          </w:tcPr>
          <w:p>
            <w:pPr>
              <w:spacing w:after="0"/>
              <w:jc w:val="center"/>
            </w:pPr>
            <w:r>
              <w:rPr>
                <w:rFonts w:ascii="Aptos" w:hAnsi="Aptos"/>
                <w:b/>
                <w:color w:val="FFFFFF"/>
                <w:sz w:val="18"/>
              </w:rPr>
              <w:t>Interest and responsibility</w:t>
            </w:r>
          </w:p>
        </w:tc>
      </w:tr>
      <w:tr>
        <w:tc>
          <w:tcPr>
            <w:tcW w:type="dxa" w:w="2880"/>
            <w:vAlign w:val="center"/>
            <w:tcMar>
              <w:top w:w="90" w:type="dxa"/>
              <w:start w:w="110" w:type="dxa"/>
              <w:bottom w:w="90" w:type="dxa"/>
              <w:end w:w="110" w:type="dxa"/>
            </w:tcMar>
          </w:tcPr>
          <w:p>
            <w:pPr>
              <w:spacing w:after="0" w:line="240" w:lineRule="auto"/>
              <w:jc w:val="center"/>
            </w:pPr>
            <w:r>
              <w:rPr>
                <w:rFonts w:ascii="Aptos" w:hAnsi="Aptos"/>
                <w:color w:val="000000"/>
                <w:sz w:val="17"/>
              </w:rPr>
              <w:t>Challenge advisor</w:t>
            </w:r>
          </w:p>
        </w:tc>
        <w:tc>
          <w:tcPr>
            <w:tcW w:type="dxa" w:w="6552"/>
            <w:vAlign w:val="center"/>
            <w:tcMar>
              <w:top w:w="90" w:type="dxa"/>
              <w:start w:w="110" w:type="dxa"/>
              <w:bottom w:w="90" w:type="dxa"/>
              <w:end w:w="110" w:type="dxa"/>
            </w:tcMar>
          </w:tcPr>
          <w:p>
            <w:pPr>
              <w:spacing w:after="0" w:line="240" w:lineRule="auto"/>
            </w:pPr>
            <w:r>
              <w:rPr>
                <w:rFonts w:ascii="Aptos" w:hAnsi="Aptos"/>
                <w:color w:val="000000"/>
                <w:sz w:val="17"/>
              </w:rPr>
              <w:t>Confirms scope, evaluates alignment with the challenge, resolves open business decisions, and reviews outcomes.</w:t>
            </w:r>
          </w:p>
        </w:tc>
      </w:tr>
      <w:tr>
        <w:tc>
          <w:tcPr>
            <w:tcW w:type="dxa" w:w="288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AI Studio coach</w:t>
            </w:r>
          </w:p>
        </w:tc>
        <w:tc>
          <w:tcPr>
            <w:tcW w:type="dxa" w:w="6552"/>
            <w:vAlign w:val="center"/>
            <w:tcMar>
              <w:top w:w="90" w:type="dxa"/>
              <w:start w:w="110" w:type="dxa"/>
              <w:bottom w:w="90" w:type="dxa"/>
              <w:end w:w="110" w:type="dxa"/>
            </w:tcMar>
            <w:shd w:fill="F5F9FC"/>
          </w:tcPr>
          <w:p>
            <w:pPr>
              <w:spacing w:after="0" w:line="240" w:lineRule="auto"/>
            </w:pPr>
            <w:r>
              <w:rPr>
                <w:rFonts w:ascii="Aptos" w:hAnsi="Aptos"/>
                <w:color w:val="000000"/>
                <w:sz w:val="17"/>
              </w:rPr>
              <w:t>Supports delivery planning, team process, and program expectations.</w:t>
            </w:r>
          </w:p>
        </w:tc>
      </w:tr>
      <w:tr>
        <w:tc>
          <w:tcPr>
            <w:tcW w:type="dxa" w:w="2880"/>
            <w:vAlign w:val="center"/>
            <w:tcMar>
              <w:top w:w="90" w:type="dxa"/>
              <w:start w:w="110" w:type="dxa"/>
              <w:bottom w:w="90" w:type="dxa"/>
              <w:end w:w="110" w:type="dxa"/>
            </w:tcMar>
          </w:tcPr>
          <w:p>
            <w:pPr>
              <w:spacing w:after="0" w:line="240" w:lineRule="auto"/>
              <w:jc w:val="center"/>
            </w:pPr>
            <w:r>
              <w:rPr>
                <w:rFonts w:ascii="Aptos" w:hAnsi="Aptos"/>
                <w:color w:val="000000"/>
                <w:sz w:val="17"/>
              </w:rPr>
              <w:t>Fellow team</w:t>
            </w:r>
          </w:p>
        </w:tc>
        <w:tc>
          <w:tcPr>
            <w:tcW w:type="dxa" w:w="6552"/>
            <w:vAlign w:val="center"/>
            <w:tcMar>
              <w:top w:w="90" w:type="dxa"/>
              <w:start w:w="110" w:type="dxa"/>
              <w:bottom w:w="90" w:type="dxa"/>
              <w:end w:w="110" w:type="dxa"/>
            </w:tcMar>
          </w:tcPr>
          <w:p>
            <w:pPr>
              <w:spacing w:after="0" w:line="240" w:lineRule="auto"/>
            </w:pPr>
            <w:r>
              <w:rPr>
                <w:rFonts w:ascii="Aptos" w:hAnsi="Aptos"/>
                <w:color w:val="000000"/>
                <w:sz w:val="17"/>
              </w:rPr>
              <w:t>Designs, builds, tests, documents, and demonstrates the prototype.</w:t>
            </w:r>
          </w:p>
        </w:tc>
      </w:tr>
      <w:tr>
        <w:tc>
          <w:tcPr>
            <w:tcW w:type="dxa" w:w="2880"/>
            <w:vAlign w:val="center"/>
            <w:tcMar>
              <w:top w:w="90" w:type="dxa"/>
              <w:start w:w="110" w:type="dxa"/>
              <w:bottom w:w="90" w:type="dxa"/>
              <w:end w:w="110" w:type="dxa"/>
            </w:tcMar>
            <w:shd w:fill="F5F9FC"/>
          </w:tcPr>
          <w:p>
            <w:pPr>
              <w:spacing w:after="0" w:line="240" w:lineRule="auto"/>
            </w:pPr>
            <w:r>
              <w:rPr>
                <w:rFonts w:ascii="Aptos" w:hAnsi="Aptos"/>
                <w:color w:val="000000"/>
                <w:sz w:val="17"/>
              </w:rPr>
              <w:t>Bank compliance or AI governance team</w:t>
            </w:r>
          </w:p>
        </w:tc>
        <w:tc>
          <w:tcPr>
            <w:tcW w:type="dxa" w:w="6552"/>
            <w:vAlign w:val="center"/>
            <w:tcMar>
              <w:top w:w="90" w:type="dxa"/>
              <w:start w:w="110" w:type="dxa"/>
              <w:bottom w:w="90" w:type="dxa"/>
              <w:end w:w="110" w:type="dxa"/>
            </w:tcMar>
            <w:shd w:fill="F5F9FC"/>
          </w:tcPr>
          <w:p>
            <w:pPr>
              <w:spacing w:after="0" w:line="240" w:lineRule="auto"/>
            </w:pPr>
            <w:r>
              <w:rPr>
                <w:rFonts w:ascii="Aptos" w:hAnsi="Aptos"/>
                <w:color w:val="000000"/>
                <w:sz w:val="17"/>
              </w:rPr>
              <w:t>Primary conceptual user of policy results, escalations, and audit records.</w:t>
            </w:r>
          </w:p>
        </w:tc>
      </w:tr>
      <w:tr>
        <w:tc>
          <w:tcPr>
            <w:tcW w:type="dxa" w:w="2880"/>
            <w:vAlign w:val="center"/>
            <w:tcMar>
              <w:top w:w="90" w:type="dxa"/>
              <w:start w:w="110" w:type="dxa"/>
              <w:bottom w:w="90" w:type="dxa"/>
              <w:end w:w="110" w:type="dxa"/>
            </w:tcMar>
          </w:tcPr>
          <w:p>
            <w:pPr>
              <w:spacing w:after="0" w:line="240" w:lineRule="auto"/>
            </w:pPr>
            <w:r>
              <w:rPr>
                <w:rFonts w:ascii="Aptos" w:hAnsi="Aptos"/>
                <w:color w:val="000000"/>
                <w:sz w:val="17"/>
              </w:rPr>
              <w:t>Bank platform or engineering team</w:t>
            </w:r>
          </w:p>
        </w:tc>
        <w:tc>
          <w:tcPr>
            <w:tcW w:type="dxa" w:w="6552"/>
            <w:vAlign w:val="center"/>
            <w:tcMar>
              <w:top w:w="90" w:type="dxa"/>
              <w:start w:w="110" w:type="dxa"/>
              <w:bottom w:w="90" w:type="dxa"/>
              <w:end w:w="110" w:type="dxa"/>
            </w:tcMar>
          </w:tcPr>
          <w:p>
            <w:pPr>
              <w:spacing w:after="0" w:line="240" w:lineRule="auto"/>
            </w:pPr>
            <w:r>
              <w:rPr>
                <w:rFonts w:ascii="Aptos" w:hAnsi="Aptos"/>
                <w:color w:val="000000"/>
                <w:sz w:val="17"/>
              </w:rPr>
              <w:t>Primary conceptual user of the gateway package, configuration, routing, and operational metrics.</w:t>
            </w:r>
          </w:p>
        </w:tc>
      </w:tr>
      <w:tr>
        <w:tc>
          <w:tcPr>
            <w:tcW w:type="dxa" w:w="2880"/>
            <w:vAlign w:val="center"/>
            <w:tcMar>
              <w:top w:w="90" w:type="dxa"/>
              <w:start w:w="110" w:type="dxa"/>
              <w:bottom w:w="90" w:type="dxa"/>
              <w:end w:w="110" w:type="dxa"/>
            </w:tcMar>
            <w:shd w:fill="F5F9FC"/>
          </w:tcPr>
          <w:p>
            <w:pPr>
              <w:spacing w:after="0" w:line="240" w:lineRule="auto"/>
            </w:pPr>
            <w:r>
              <w:rPr>
                <w:rFonts w:ascii="Aptos" w:hAnsi="Aptos"/>
                <w:color w:val="000000"/>
                <w:sz w:val="17"/>
              </w:rPr>
              <w:t>Customer service application owner</w:t>
            </w:r>
          </w:p>
        </w:tc>
        <w:tc>
          <w:tcPr>
            <w:tcW w:type="dxa" w:w="6552"/>
            <w:vAlign w:val="center"/>
            <w:tcMar>
              <w:top w:w="90" w:type="dxa"/>
              <w:start w:w="110" w:type="dxa"/>
              <w:bottom w:w="90" w:type="dxa"/>
              <w:end w:w="110" w:type="dxa"/>
            </w:tcMar>
            <w:shd w:fill="F5F9FC"/>
          </w:tcPr>
          <w:p>
            <w:pPr>
              <w:spacing w:after="0" w:line="240" w:lineRule="auto"/>
            </w:pPr>
            <w:r>
              <w:rPr>
                <w:rFonts w:ascii="Aptos" w:hAnsi="Aptos"/>
                <w:color w:val="000000"/>
                <w:sz w:val="17"/>
              </w:rPr>
              <w:t>Uses the gateway as a control layer around a customer support experience.</w:t>
            </w:r>
          </w:p>
        </w:tc>
      </w:tr>
      <w:tr>
        <w:tc>
          <w:tcPr>
            <w:tcW w:type="dxa" w:w="2880"/>
            <w:vAlign w:val="center"/>
            <w:tcMar>
              <w:top w:w="90" w:type="dxa"/>
              <w:start w:w="110" w:type="dxa"/>
              <w:bottom w:w="90" w:type="dxa"/>
              <w:end w:w="110" w:type="dxa"/>
            </w:tcMar>
          </w:tcPr>
          <w:p>
            <w:pPr>
              <w:spacing w:after="0" w:line="240" w:lineRule="auto"/>
              <w:jc w:val="center"/>
            </w:pPr>
            <w:r>
              <w:rPr>
                <w:rFonts w:ascii="Aptos" w:hAnsi="Aptos"/>
                <w:color w:val="000000"/>
                <w:sz w:val="17"/>
              </w:rPr>
              <w:t>Bank customer</w:t>
            </w:r>
          </w:p>
        </w:tc>
        <w:tc>
          <w:tcPr>
            <w:tcW w:type="dxa" w:w="6552"/>
            <w:vAlign w:val="center"/>
            <w:tcMar>
              <w:top w:w="90" w:type="dxa"/>
              <w:start w:w="110" w:type="dxa"/>
              <w:bottom w:w="90" w:type="dxa"/>
              <w:end w:w="110" w:type="dxa"/>
            </w:tcMar>
          </w:tcPr>
          <w:p>
            <w:pPr>
              <w:spacing w:after="0" w:line="240" w:lineRule="auto"/>
            </w:pPr>
            <w:r>
              <w:rPr>
                <w:rFonts w:ascii="Aptos" w:hAnsi="Aptos"/>
                <w:color w:val="000000"/>
                <w:sz w:val="17"/>
              </w:rPr>
              <w:t>Indirect user whose question and data are protected by the gateway.</w:t>
            </w:r>
          </w:p>
        </w:tc>
      </w:tr>
      <w:tr>
        <w:tc>
          <w:tcPr>
            <w:tcW w:type="dxa" w:w="288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Project reviewers</w:t>
            </w:r>
          </w:p>
        </w:tc>
        <w:tc>
          <w:tcPr>
            <w:tcW w:type="dxa" w:w="6552"/>
            <w:vAlign w:val="center"/>
            <w:tcMar>
              <w:top w:w="90" w:type="dxa"/>
              <w:start w:w="110" w:type="dxa"/>
              <w:bottom w:w="90" w:type="dxa"/>
              <w:end w:w="110" w:type="dxa"/>
            </w:tcMar>
            <w:shd w:fill="F5F9FC"/>
          </w:tcPr>
          <w:p>
            <w:pPr>
              <w:spacing w:after="0" w:line="240" w:lineRule="auto"/>
            </w:pPr>
            <w:r>
              <w:rPr>
                <w:rFonts w:ascii="Aptos" w:hAnsi="Aptos"/>
                <w:color w:val="000000"/>
                <w:sz w:val="17"/>
              </w:rPr>
              <w:t>Assess the demonstration, evaluation evidence, limitations, and reproducibility.</w:t>
            </w:r>
          </w:p>
        </w:tc>
      </w:tr>
    </w:tbl>
    <w:p>
      <w:pPr>
        <w:spacing w:after="20"/>
        <w:widowControl/>
      </w:pPr>
    </w:p>
    <w:p>
      <w:pPr>
        <w:pStyle w:val="Heading2"/>
      </w:pPr>
      <w:r>
        <w:t>User needs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8324A"/>
            <w:tcMar>
              <w:top w:w="90" w:type="dxa"/>
              <w:start w:w="110" w:type="dxa"/>
              <w:bottom w:w="90" w:type="dxa"/>
              <w:end w:w="110" w:type="dxa"/>
            </w:tcMar>
            <w:vAlign w:val="center"/>
          </w:tcPr>
          <w:p>
            <w:pPr>
              <w:spacing w:after="0"/>
              <w:jc w:val="center"/>
            </w:pPr>
            <w:r>
              <w:rPr>
                <w:rFonts w:ascii="Aptos" w:hAnsi="Aptos"/>
                <w:b/>
                <w:color w:val="FFFFFF"/>
                <w:sz w:val="18"/>
              </w:rPr>
              <w:t>User</w:t>
            </w:r>
          </w:p>
        </w:tc>
        <w:tc>
          <w:tcPr>
            <w:tcW w:type="dxa" w:w="6912"/>
            <w:shd w:fill="18324A"/>
            <w:tcMar>
              <w:top w:w="90" w:type="dxa"/>
              <w:start w:w="110" w:type="dxa"/>
              <w:bottom w:w="90" w:type="dxa"/>
              <w:end w:w="110" w:type="dxa"/>
            </w:tcMar>
            <w:vAlign w:val="center"/>
          </w:tcPr>
          <w:p>
            <w:pPr>
              <w:spacing w:after="0"/>
              <w:jc w:val="center"/>
            </w:pPr>
            <w:r>
              <w:rPr>
                <w:rFonts w:ascii="Aptos" w:hAnsi="Aptos"/>
                <w:b/>
                <w:color w:val="FFFFFF"/>
                <w:sz w:val="18"/>
              </w:rPr>
              <w:t>Need</w:t>
            </w:r>
          </w:p>
        </w:tc>
      </w:tr>
      <w:tr>
        <w:tc>
          <w:tcPr>
            <w:tcW w:type="dxa" w:w="2520"/>
            <w:vAlign w:val="center"/>
            <w:tcMar>
              <w:top w:w="90" w:type="dxa"/>
              <w:start w:w="110" w:type="dxa"/>
              <w:bottom w:w="90" w:type="dxa"/>
              <w:end w:w="110" w:type="dxa"/>
            </w:tcMar>
          </w:tcPr>
          <w:p>
            <w:pPr>
              <w:spacing w:after="0" w:line="240" w:lineRule="auto"/>
            </w:pPr>
            <w:r>
              <w:rPr>
                <w:rFonts w:ascii="Aptos" w:hAnsi="Aptos"/>
                <w:color w:val="000000"/>
                <w:sz w:val="17"/>
              </w:rPr>
              <w:t>Governance reviewer</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Understand why a prompt was allowed, blocked, escalated, cached, or routed.</w:t>
            </w:r>
          </w:p>
        </w:tc>
      </w:tr>
      <w:tr>
        <w:tc>
          <w:tcPr>
            <w:tcW w:type="dxa" w:w="252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Platform engineer</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Call one stable processing interface and receive a response plus a machine-readable decision record.</w:t>
            </w:r>
          </w:p>
        </w:tc>
      </w:tr>
      <w:tr>
        <w:tc>
          <w:tcPr>
            <w:tcW w:type="dxa" w:w="2520"/>
            <w:vAlign w:val="center"/>
            <w:tcMar>
              <w:top w:w="90" w:type="dxa"/>
              <w:start w:w="110" w:type="dxa"/>
              <w:bottom w:w="90" w:type="dxa"/>
              <w:end w:w="110" w:type="dxa"/>
            </w:tcMar>
          </w:tcPr>
          <w:p>
            <w:pPr>
              <w:spacing w:after="0" w:line="240" w:lineRule="auto"/>
              <w:jc w:val="center"/>
            </w:pPr>
            <w:r>
              <w:rPr>
                <w:rFonts w:ascii="Aptos" w:hAnsi="Aptos"/>
                <w:color w:val="000000"/>
                <w:sz w:val="17"/>
              </w:rPr>
              <w:t>Evaluator</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Reproduce metrics by dataset, split, policy version, classifier version, and cache threshold.</w:t>
            </w:r>
          </w:p>
        </w:tc>
      </w:tr>
      <w:tr>
        <w:tc>
          <w:tcPr>
            <w:tcW w:type="dxa" w:w="2520"/>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Project reviewer</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Compare governed and ungoverned workload cost and review the safety and cache tradeoffs.</w:t>
            </w:r>
          </w:p>
        </w:tc>
      </w:tr>
    </w:tbl>
    <w:p>
      <w:pPr>
        <w:spacing w:after="20"/>
        <w:widowControl/>
      </w:pPr>
    </w:p>
    <w:p>
      <w:pPr>
        <w:widowControl/>
      </w:pPr>
      <w:r>
        <w:br w:type="page"/>
      </w:r>
    </w:p>
    <w:p>
      <w:pPr>
        <w:pStyle w:val="Heading1"/>
      </w:pPr>
      <w:r>
        <w:t>Assumptions and dependencies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584"/>
            <w:shd w:fill="18324A"/>
            <w:tcMar>
              <w:top w:w="90" w:type="dxa"/>
              <w:start w:w="110" w:type="dxa"/>
              <w:bottom w:w="90" w:type="dxa"/>
              <w:end w:w="110" w:type="dxa"/>
            </w:tcMar>
            <w:vAlign w:val="center"/>
          </w:tcPr>
          <w:p>
            <w:pPr>
              <w:spacing w:after="0"/>
              <w:jc w:val="center"/>
            </w:pPr>
            <w:r>
              <w:rPr>
                <w:rFonts w:ascii="Aptos" w:hAnsi="Aptos"/>
                <w:b/>
                <w:color w:val="FFFFFF"/>
                <w:sz w:val="18"/>
              </w:rPr>
              <w:t>Type</w:t>
            </w:r>
          </w:p>
        </w:tc>
        <w:tc>
          <w:tcPr>
            <w:tcW w:type="dxa" w:w="7848"/>
            <w:shd w:fill="18324A"/>
            <w:tcMar>
              <w:top w:w="90" w:type="dxa"/>
              <w:start w:w="110" w:type="dxa"/>
              <w:bottom w:w="90" w:type="dxa"/>
              <w:end w:w="110" w:type="dxa"/>
            </w:tcMar>
            <w:vAlign w:val="center"/>
          </w:tcPr>
          <w:p>
            <w:pPr>
              <w:spacing w:after="0"/>
              <w:jc w:val="center"/>
            </w:pPr>
            <w:r>
              <w:rPr>
                <w:rFonts w:ascii="Aptos" w:hAnsi="Aptos"/>
                <w:b/>
                <w:color w:val="FFFFFF"/>
                <w:sz w:val="18"/>
              </w:rPr>
              <w:t>Statement</w:t>
            </w:r>
          </w:p>
        </w:tc>
      </w:tr>
      <w:tr>
        <w:tc>
          <w:tcPr>
            <w:tcW w:type="dxa" w:w="1584"/>
            <w:vAlign w:val="center"/>
            <w:tcMar>
              <w:top w:w="90" w:type="dxa"/>
              <w:start w:w="110" w:type="dxa"/>
              <w:bottom w:w="90" w:type="dxa"/>
              <w:end w:w="110" w:type="dxa"/>
            </w:tcMar>
          </w:tcPr>
          <w:p>
            <w:pPr>
              <w:spacing w:after="0" w:line="240" w:lineRule="auto"/>
              <w:jc w:val="center"/>
            </w:pPr>
            <w:r>
              <w:rPr>
                <w:rFonts w:ascii="Aptos" w:hAnsi="Aptos"/>
                <w:color w:val="000000"/>
                <w:sz w:val="17"/>
              </w:rPr>
              <w:t>Assumption</w:t>
            </w:r>
          </w:p>
        </w:tc>
        <w:tc>
          <w:tcPr>
            <w:tcW w:type="dxa" w:w="7848"/>
            <w:vAlign w:val="center"/>
            <w:tcMar>
              <w:top w:w="90" w:type="dxa"/>
              <w:start w:w="110" w:type="dxa"/>
              <w:bottom w:w="90" w:type="dxa"/>
              <w:end w:w="110" w:type="dxa"/>
            </w:tcMar>
          </w:tcPr>
          <w:p>
            <w:pPr>
              <w:spacing w:after="0" w:line="240" w:lineRule="auto"/>
            </w:pPr>
            <w:r>
              <w:rPr>
                <w:rFonts w:ascii="Aptos" w:hAnsi="Aptos"/>
                <w:color w:val="000000"/>
                <w:sz w:val="17"/>
              </w:rPr>
              <w:t>Retail banking is accepted as the initial regulated customer service domain.</w:t>
            </w:r>
          </w:p>
        </w:tc>
      </w:tr>
      <w:tr>
        <w:tc>
          <w:tcPr>
            <w:tcW w:type="dxa" w:w="1584"/>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Assumption</w:t>
            </w:r>
          </w:p>
        </w:tc>
        <w:tc>
          <w:tcPr>
            <w:tcW w:type="dxa" w:w="7848"/>
            <w:vAlign w:val="center"/>
            <w:tcMar>
              <w:top w:w="90" w:type="dxa"/>
              <w:start w:w="110" w:type="dxa"/>
              <w:bottom w:w="90" w:type="dxa"/>
              <w:end w:w="110" w:type="dxa"/>
            </w:tcMar>
            <w:shd w:fill="F5F9FC"/>
          </w:tcPr>
          <w:p>
            <w:pPr>
              <w:spacing w:after="0" w:line="240" w:lineRule="auto"/>
            </w:pPr>
            <w:r>
              <w:rPr>
                <w:rFonts w:ascii="Aptos" w:hAnsi="Aptos"/>
                <w:color w:val="000000"/>
                <w:sz w:val="17"/>
              </w:rPr>
              <w:t>The prototype uses only public or team-authored data and no real customer records.</w:t>
            </w:r>
          </w:p>
        </w:tc>
      </w:tr>
      <w:tr>
        <w:tc>
          <w:tcPr>
            <w:tcW w:type="dxa" w:w="1584"/>
            <w:vAlign w:val="center"/>
            <w:tcMar>
              <w:top w:w="90" w:type="dxa"/>
              <w:start w:w="110" w:type="dxa"/>
              <w:bottom w:w="90" w:type="dxa"/>
              <w:end w:w="110" w:type="dxa"/>
            </w:tcMar>
          </w:tcPr>
          <w:p>
            <w:pPr>
              <w:spacing w:after="0" w:line="240" w:lineRule="auto"/>
              <w:jc w:val="center"/>
            </w:pPr>
            <w:r>
              <w:rPr>
                <w:rFonts w:ascii="Aptos" w:hAnsi="Aptos"/>
                <w:color w:val="000000"/>
                <w:sz w:val="17"/>
              </w:rPr>
              <w:t>Assumption</w:t>
            </w:r>
          </w:p>
        </w:tc>
        <w:tc>
          <w:tcPr>
            <w:tcW w:type="dxa" w:w="7848"/>
            <w:vAlign w:val="center"/>
            <w:tcMar>
              <w:top w:w="90" w:type="dxa"/>
              <w:start w:w="110" w:type="dxa"/>
              <w:bottom w:w="90" w:type="dxa"/>
              <w:end w:w="110" w:type="dxa"/>
            </w:tcMar>
          </w:tcPr>
          <w:p>
            <w:pPr>
              <w:spacing w:after="0" w:line="240" w:lineRule="auto"/>
            </w:pPr>
            <w:r>
              <w:rPr>
                <w:rFonts w:ascii="Aptos" w:hAnsi="Aptos"/>
                <w:color w:val="000000"/>
                <w:sz w:val="17"/>
              </w:rPr>
              <w:t>Expensive model tiers may be simulated because routing, token, and cost metrics do not require large volumes of live API calls.</w:t>
            </w:r>
          </w:p>
        </w:tc>
      </w:tr>
      <w:tr>
        <w:tc>
          <w:tcPr>
            <w:tcW w:type="dxa" w:w="1584"/>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Dependency</w:t>
            </w:r>
          </w:p>
        </w:tc>
        <w:tc>
          <w:tcPr>
            <w:tcW w:type="dxa" w:w="7848"/>
            <w:vAlign w:val="center"/>
            <w:tcMar>
              <w:top w:w="90" w:type="dxa"/>
              <w:start w:w="110" w:type="dxa"/>
              <w:bottom w:w="90" w:type="dxa"/>
              <w:end w:w="110" w:type="dxa"/>
            </w:tcMar>
            <w:shd w:fill="F5F9FC"/>
          </w:tcPr>
          <w:p>
            <w:pPr>
              <w:spacing w:after="0" w:line="240" w:lineRule="auto"/>
            </w:pPr>
            <w:r>
              <w:rPr>
                <w:rFonts w:ascii="Aptos" w:hAnsi="Aptos"/>
                <w:color w:val="000000"/>
                <w:sz w:val="17"/>
              </w:rPr>
              <w:t>ToxicChat, Banking77, and optional FinQA or ConvFinQA data remain accessible under acceptable terms.</w:t>
            </w:r>
          </w:p>
        </w:tc>
      </w:tr>
      <w:tr>
        <w:tc>
          <w:tcPr>
            <w:tcW w:type="dxa" w:w="1584"/>
            <w:vAlign w:val="center"/>
            <w:tcMar>
              <w:top w:w="90" w:type="dxa"/>
              <w:start w:w="110" w:type="dxa"/>
              <w:bottom w:w="90" w:type="dxa"/>
              <w:end w:w="110" w:type="dxa"/>
            </w:tcMar>
          </w:tcPr>
          <w:p>
            <w:pPr>
              <w:spacing w:after="0" w:line="240" w:lineRule="auto"/>
              <w:jc w:val="center"/>
            </w:pPr>
            <w:r>
              <w:rPr>
                <w:rFonts w:ascii="Aptos" w:hAnsi="Aptos"/>
                <w:color w:val="000000"/>
                <w:sz w:val="17"/>
              </w:rPr>
              <w:t>Dependency</w:t>
            </w:r>
          </w:p>
        </w:tc>
        <w:tc>
          <w:tcPr>
            <w:tcW w:type="dxa" w:w="7848"/>
            <w:vAlign w:val="center"/>
            <w:tcMar>
              <w:top w:w="90" w:type="dxa"/>
              <w:start w:w="110" w:type="dxa"/>
              <w:bottom w:w="90" w:type="dxa"/>
              <w:end w:w="110" w:type="dxa"/>
            </w:tcMar>
          </w:tcPr>
          <w:p>
            <w:pPr>
              <w:spacing w:after="0" w:line="240" w:lineRule="auto"/>
            </w:pPr>
            <w:r>
              <w:rPr>
                <w:rFonts w:ascii="Aptos" w:hAnsi="Aptos"/>
                <w:color w:val="000000"/>
                <w:sz w:val="17"/>
              </w:rPr>
              <w:t>The team has access to Python tooling, embeddings, tokenization libraries, Streamlit, GitHub, and adequate notebook compute.</w:t>
            </w:r>
          </w:p>
        </w:tc>
      </w:tr>
      <w:tr>
        <w:tc>
          <w:tcPr>
            <w:tcW w:type="dxa" w:w="1584"/>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Dependency</w:t>
            </w:r>
          </w:p>
        </w:tc>
        <w:tc>
          <w:tcPr>
            <w:tcW w:type="dxa" w:w="7848"/>
            <w:vAlign w:val="center"/>
            <w:tcMar>
              <w:top w:w="90" w:type="dxa"/>
              <w:start w:w="110" w:type="dxa"/>
              <w:bottom w:w="90" w:type="dxa"/>
              <w:end w:w="110" w:type="dxa"/>
            </w:tcMar>
            <w:shd w:fill="F5F9FC"/>
          </w:tcPr>
          <w:p>
            <w:pPr>
              <w:spacing w:after="0" w:line="240" w:lineRule="auto"/>
            </w:pPr>
            <w:r>
              <w:rPr>
                <w:rFonts w:ascii="Aptos" w:hAnsi="Aptos"/>
                <w:color w:val="000000"/>
                <w:sz w:val="17"/>
              </w:rPr>
              <w:t>The advisor approves the narrowed scope and accepts the evaluation design.</w:t>
            </w:r>
          </w:p>
        </w:tc>
      </w:tr>
    </w:tbl>
    <w:p>
      <w:pPr>
        <w:spacing w:after="20"/>
        <w:widowControl/>
      </w:pPr>
    </w:p>
    <w:p>
      <w:pPr>
        <w:pStyle w:val="Heading1"/>
      </w:pPr>
      <w:r>
        <w:t>Target operating process</w:t>
      </w:r>
    </w:p>
    <w:p>
      <w:pPr>
        <w:keepLines w:val="0"/>
        <w:widowControl/>
      </w:pPr>
      <w:r>
        <w:rPr>
          <w:rFonts w:ascii="Aptos" w:hAnsi="Aptos"/>
          <w:i w:val="0"/>
          <w:color w:val="000000"/>
        </w:rPr>
        <w:t>The gateway accepts one user query and produces a response or disposition plus one JSON decision record. A request may stop before model execution when policy blocks it or when the cache returns an approved reusable answer.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80"/>
            <w:shd w:fill="18324A"/>
            <w:tcMar>
              <w:top w:w="90" w:type="dxa"/>
              <w:start w:w="110" w:type="dxa"/>
              <w:bottom w:w="90" w:type="dxa"/>
              <w:end w:w="110" w:type="dxa"/>
            </w:tcMar>
            <w:vAlign w:val="center"/>
          </w:tcPr>
          <w:p>
            <w:pPr>
              <w:spacing w:after="0"/>
              <w:jc w:val="center"/>
            </w:pPr>
            <w:r>
              <w:rPr>
                <w:rFonts w:ascii="Aptos" w:hAnsi="Aptos"/>
                <w:b/>
                <w:color w:val="FFFFFF"/>
                <w:sz w:val="17"/>
              </w:rPr>
              <w:t>Stage</w:t>
            </w:r>
          </w:p>
        </w:tc>
        <w:tc>
          <w:tcPr>
            <w:tcW w:type="dxa" w:w="4968"/>
            <w:shd w:fill="18324A"/>
            <w:tcMar>
              <w:top w:w="90" w:type="dxa"/>
              <w:start w:w="110" w:type="dxa"/>
              <w:bottom w:w="90" w:type="dxa"/>
              <w:end w:w="110" w:type="dxa"/>
            </w:tcMar>
            <w:vAlign w:val="center"/>
          </w:tcPr>
          <w:p>
            <w:pPr>
              <w:spacing w:after="0"/>
              <w:jc w:val="center"/>
            </w:pPr>
            <w:r>
              <w:rPr>
                <w:rFonts w:ascii="Aptos" w:hAnsi="Aptos"/>
                <w:b/>
                <w:color w:val="FFFFFF"/>
                <w:sz w:val="17"/>
              </w:rPr>
              <w:t>Required behavior</w:t>
            </w:r>
          </w:p>
        </w:tc>
        <w:tc>
          <w:tcPr>
            <w:tcW w:type="dxa" w:w="3384"/>
            <w:shd w:fill="18324A"/>
            <w:tcMar>
              <w:top w:w="90" w:type="dxa"/>
              <w:start w:w="110" w:type="dxa"/>
              <w:bottom w:w="90" w:type="dxa"/>
              <w:end w:w="110" w:type="dxa"/>
            </w:tcMar>
            <w:vAlign w:val="center"/>
          </w:tcPr>
          <w:p>
            <w:pPr>
              <w:spacing w:after="0"/>
              <w:jc w:val="center"/>
            </w:pPr>
            <w:r>
              <w:rPr>
                <w:rFonts w:ascii="Aptos" w:hAnsi="Aptos"/>
                <w:b/>
                <w:color w:val="FFFFFF"/>
                <w:sz w:val="17"/>
              </w:rPr>
              <w:t>Possible result</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1 Intake</w:t>
            </w:r>
          </w:p>
        </w:tc>
        <w:tc>
          <w:tcPr>
            <w:tcW w:type="dxa" w:w="4968"/>
            <w:vAlign w:val="center"/>
            <w:tcMar>
              <w:top w:w="90" w:type="dxa"/>
              <w:start w:w="110" w:type="dxa"/>
              <w:bottom w:w="90" w:type="dxa"/>
              <w:end w:w="110" w:type="dxa"/>
            </w:tcMar>
          </w:tcPr>
          <w:p>
            <w:pPr>
              <w:spacing w:after="0" w:line="240" w:lineRule="auto"/>
            </w:pPr>
            <w:r>
              <w:rPr>
                <w:rFonts w:ascii="Aptos" w:hAnsi="Aptos"/>
                <w:color w:val="000000"/>
                <w:sz w:val="16"/>
              </w:rPr>
              <w:t>Normalize text and detect language.</w:t>
            </w:r>
          </w:p>
        </w:tc>
        <w:tc>
          <w:tcPr>
            <w:tcW w:type="dxa" w:w="3384"/>
            <w:vAlign w:val="center"/>
            <w:tcMar>
              <w:top w:w="90" w:type="dxa"/>
              <w:start w:w="110" w:type="dxa"/>
              <w:bottom w:w="90" w:type="dxa"/>
              <w:end w:w="110" w:type="dxa"/>
            </w:tcMar>
          </w:tcPr>
          <w:p>
            <w:pPr>
              <w:spacing w:after="0" w:line="240" w:lineRule="auto"/>
            </w:pPr>
            <w:r>
              <w:rPr>
                <w:rFonts w:ascii="Aptos" w:hAnsi="Aptos"/>
                <w:color w:val="000000"/>
                <w:sz w:val="16"/>
              </w:rPr>
              <w:t>Normalized prompt and detected language.</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2 Privacy</w:t>
            </w:r>
          </w:p>
        </w:tc>
        <w:tc>
          <w:tcPr>
            <w:tcW w:type="dxa" w:w="4968"/>
            <w:vAlign w:val="center"/>
            <w:tcMar>
              <w:top w:w="90" w:type="dxa"/>
              <w:start w:w="110" w:type="dxa"/>
              <w:bottom w:w="90" w:type="dxa"/>
              <w:end w:w="110" w:type="dxa"/>
            </w:tcMar>
            <w:shd w:fill="F5F9FC"/>
          </w:tcPr>
          <w:p>
            <w:pPr>
              <w:spacing w:after="0" w:line="240" w:lineRule="auto"/>
            </w:pPr>
            <w:r>
              <w:rPr>
                <w:rFonts w:ascii="Aptos" w:hAnsi="Aptos"/>
                <w:color w:val="000000"/>
                <w:sz w:val="16"/>
              </w:rPr>
              <w:t>Detect and mask configured personal information patterns before downstream processing and logging.</w:t>
            </w:r>
          </w:p>
        </w:tc>
        <w:tc>
          <w:tcPr>
            <w:tcW w:type="dxa" w:w="3384"/>
            <w:vAlign w:val="center"/>
            <w:tcMar>
              <w:top w:w="90" w:type="dxa"/>
              <w:start w:w="110" w:type="dxa"/>
              <w:bottom w:w="90" w:type="dxa"/>
              <w:end w:w="110" w:type="dxa"/>
            </w:tcMar>
            <w:shd w:fill="F5F9FC"/>
          </w:tcPr>
          <w:p>
            <w:pPr>
              <w:spacing w:after="0" w:line="240" w:lineRule="auto"/>
            </w:pPr>
            <w:r>
              <w:rPr>
                <w:rFonts w:ascii="Aptos" w:hAnsi="Aptos"/>
                <w:color w:val="000000"/>
                <w:sz w:val="16"/>
              </w:rPr>
              <w:t>Redacted prompt and detection indicators.</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3 Risk</w:t>
            </w:r>
          </w:p>
        </w:tc>
        <w:tc>
          <w:tcPr>
            <w:tcW w:type="dxa" w:w="4968"/>
            <w:vAlign w:val="center"/>
            <w:tcMar>
              <w:top w:w="90" w:type="dxa"/>
              <w:start w:w="110" w:type="dxa"/>
              <w:bottom w:w="90" w:type="dxa"/>
              <w:end w:w="110" w:type="dxa"/>
            </w:tcMar>
          </w:tcPr>
          <w:p>
            <w:pPr>
              <w:spacing w:after="0" w:line="240" w:lineRule="auto"/>
            </w:pPr>
            <w:r>
              <w:rPr>
                <w:rFonts w:ascii="Aptos" w:hAnsi="Aptos"/>
                <w:color w:val="000000"/>
                <w:sz w:val="16"/>
              </w:rPr>
              <w:t>Classify toxicity, jailbreak behavior, harmful intent, and regulated-advice risk with scores and labels.</w:t>
            </w:r>
          </w:p>
        </w:tc>
        <w:tc>
          <w:tcPr>
            <w:tcW w:type="dxa" w:w="3384"/>
            <w:vAlign w:val="center"/>
            <w:tcMar>
              <w:top w:w="90" w:type="dxa"/>
              <w:start w:w="110" w:type="dxa"/>
              <w:bottom w:w="90" w:type="dxa"/>
              <w:end w:w="110" w:type="dxa"/>
            </w:tcMar>
          </w:tcPr>
          <w:p>
            <w:pPr>
              <w:spacing w:after="0" w:line="240" w:lineRule="auto"/>
            </w:pPr>
            <w:r>
              <w:rPr>
                <w:rFonts w:ascii="Aptos" w:hAnsi="Aptos"/>
                <w:color w:val="000000"/>
                <w:sz w:val="16"/>
              </w:rPr>
              <w:t>Risk labels, scores, classifier version.</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4 Policy</w:t>
            </w:r>
          </w:p>
        </w:tc>
        <w:tc>
          <w:tcPr>
            <w:tcW w:type="dxa" w:w="4968"/>
            <w:vAlign w:val="center"/>
            <w:tcMar>
              <w:top w:w="90" w:type="dxa"/>
              <w:start w:w="110" w:type="dxa"/>
              <w:bottom w:w="90" w:type="dxa"/>
              <w:end w:w="110" w:type="dxa"/>
            </w:tcMar>
            <w:shd w:fill="F5F9FC"/>
          </w:tcPr>
          <w:p>
            <w:pPr>
              <w:spacing w:after="0" w:line="240" w:lineRule="auto"/>
            </w:pPr>
            <w:r>
              <w:rPr>
                <w:rFonts w:ascii="Aptos" w:hAnsi="Aptos"/>
                <w:color w:val="000000"/>
                <w:sz w:val="16"/>
              </w:rPr>
              <w:t>Apply versioned rules stored outside application code.</w:t>
            </w:r>
          </w:p>
        </w:tc>
        <w:tc>
          <w:tcPr>
            <w:tcW w:type="dxa" w:w="3384"/>
            <w:vAlign w:val="center"/>
            <w:tcMar>
              <w:top w:w="90" w:type="dxa"/>
              <w:start w:w="110" w:type="dxa"/>
              <w:bottom w:w="90" w:type="dxa"/>
              <w:end w:w="110" w:type="dxa"/>
            </w:tcMar>
            <w:shd w:fill="F5F9FC"/>
          </w:tcPr>
          <w:p>
            <w:pPr>
              <w:spacing w:after="0" w:line="240" w:lineRule="auto"/>
            </w:pPr>
            <w:r>
              <w:rPr>
                <w:rFonts w:ascii="Aptos" w:hAnsi="Aptos"/>
                <w:color w:val="000000"/>
                <w:sz w:val="16"/>
              </w:rPr>
              <w:t>ALLOW, BLOCK, or ESCALATE with reason.</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5 Cache</w:t>
            </w:r>
          </w:p>
        </w:tc>
        <w:tc>
          <w:tcPr>
            <w:tcW w:type="dxa" w:w="4968"/>
            <w:vAlign w:val="center"/>
            <w:tcMar>
              <w:top w:w="90" w:type="dxa"/>
              <w:start w:w="110" w:type="dxa"/>
              <w:bottom w:w="90" w:type="dxa"/>
              <w:end w:w="110" w:type="dxa"/>
            </w:tcMar>
          </w:tcPr>
          <w:p>
            <w:pPr>
              <w:spacing w:after="0" w:line="240" w:lineRule="auto"/>
            </w:pPr>
            <w:r>
              <w:rPr>
                <w:rFonts w:ascii="Aptos" w:hAnsi="Aptos"/>
                <w:color w:val="000000"/>
                <w:sz w:val="16"/>
              </w:rPr>
              <w:t>Search semantically similar prior entries, apply threshold and time-to-live rules, and validate eligibility.</w:t>
            </w:r>
          </w:p>
        </w:tc>
        <w:tc>
          <w:tcPr>
            <w:tcW w:type="dxa" w:w="3384"/>
            <w:vAlign w:val="center"/>
            <w:tcMar>
              <w:top w:w="90" w:type="dxa"/>
              <w:start w:w="110" w:type="dxa"/>
              <w:bottom w:w="90" w:type="dxa"/>
              <w:end w:w="110" w:type="dxa"/>
            </w:tcMar>
          </w:tcPr>
          <w:p>
            <w:pPr>
              <w:spacing w:after="0" w:line="240" w:lineRule="auto"/>
            </w:pPr>
            <w:r>
              <w:rPr>
                <w:rFonts w:ascii="Aptos" w:hAnsi="Aptos"/>
                <w:color w:val="000000"/>
                <w:sz w:val="16"/>
              </w:rPr>
              <w:t>Cache hit or miss, similarity, intent, age, response reference.</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6 Routing</w:t>
            </w:r>
          </w:p>
        </w:tc>
        <w:tc>
          <w:tcPr>
            <w:tcW w:type="dxa" w:w="4968"/>
            <w:vAlign w:val="center"/>
            <w:tcMar>
              <w:top w:w="90" w:type="dxa"/>
              <w:start w:w="110" w:type="dxa"/>
              <w:bottom w:w="90" w:type="dxa"/>
              <w:end w:w="110" w:type="dxa"/>
            </w:tcMar>
            <w:shd w:fill="F5F9FC"/>
          </w:tcPr>
          <w:p>
            <w:pPr>
              <w:spacing w:after="0" w:line="240" w:lineRule="auto"/>
            </w:pPr>
            <w:r>
              <w:rPr>
                <w:rFonts w:ascii="Aptos" w:hAnsi="Aptos"/>
                <w:color w:val="000000"/>
                <w:sz w:val="16"/>
              </w:rPr>
              <w:t>For allowed cache misses, estimate complexity and recommend the least expensive sufficient model tier.</w:t>
            </w:r>
          </w:p>
        </w:tc>
        <w:tc>
          <w:tcPr>
            <w:tcW w:type="dxa" w:w="3384"/>
            <w:vAlign w:val="center"/>
            <w:tcMar>
              <w:top w:w="90" w:type="dxa"/>
              <w:start w:w="110" w:type="dxa"/>
              <w:bottom w:w="90" w:type="dxa"/>
              <w:end w:w="110" w:type="dxa"/>
            </w:tcMar>
            <w:shd w:fill="F5F9FC"/>
          </w:tcPr>
          <w:p>
            <w:pPr>
              <w:spacing w:after="0" w:line="240" w:lineRule="auto"/>
            </w:pPr>
            <w:r>
              <w:rPr>
                <w:rFonts w:ascii="Aptos" w:hAnsi="Aptos"/>
                <w:color w:val="000000"/>
                <w:sz w:val="16"/>
              </w:rPr>
              <w:t>Tier, rationale, estimated tokens and cost.</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7 Response</w:t>
            </w:r>
          </w:p>
        </w:tc>
        <w:tc>
          <w:tcPr>
            <w:tcW w:type="dxa" w:w="4968"/>
            <w:vAlign w:val="center"/>
            <w:tcMar>
              <w:top w:w="90" w:type="dxa"/>
              <w:start w:w="110" w:type="dxa"/>
              <w:bottom w:w="90" w:type="dxa"/>
              <w:end w:w="110" w:type="dxa"/>
            </w:tcMar>
          </w:tcPr>
          <w:p>
            <w:pPr>
              <w:spacing w:after="0" w:line="240" w:lineRule="auto"/>
            </w:pPr>
            <w:r>
              <w:rPr>
                <w:rFonts w:ascii="Aptos" w:hAnsi="Aptos"/>
                <w:color w:val="000000"/>
                <w:sz w:val="16"/>
              </w:rPr>
              <w:t>Return a cached, generated, simulated, blocked, or escalated response.</w:t>
            </w:r>
          </w:p>
        </w:tc>
        <w:tc>
          <w:tcPr>
            <w:tcW w:type="dxa" w:w="3384"/>
            <w:vAlign w:val="center"/>
            <w:tcMar>
              <w:top w:w="90" w:type="dxa"/>
              <w:start w:w="110" w:type="dxa"/>
              <w:bottom w:w="90" w:type="dxa"/>
              <w:end w:w="110" w:type="dxa"/>
            </w:tcMar>
          </w:tcPr>
          <w:p>
            <w:pPr>
              <w:spacing w:after="0" w:line="240" w:lineRule="auto"/>
            </w:pPr>
            <w:r>
              <w:rPr>
                <w:rFonts w:ascii="Aptos" w:hAnsi="Aptos"/>
                <w:color w:val="000000"/>
                <w:sz w:val="16"/>
              </w:rPr>
              <w:t>Response and completion status.</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8 Audit</w:t>
            </w:r>
          </w:p>
        </w:tc>
        <w:tc>
          <w:tcPr>
            <w:tcW w:type="dxa" w:w="4968"/>
            <w:vAlign w:val="center"/>
            <w:tcMar>
              <w:top w:w="90" w:type="dxa"/>
              <w:start w:w="110" w:type="dxa"/>
              <w:bottom w:w="90" w:type="dxa"/>
              <w:end w:w="110" w:type="dxa"/>
            </w:tcMar>
            <w:shd w:fill="F5F9FC"/>
          </w:tcPr>
          <w:p>
            <w:pPr>
              <w:spacing w:after="0" w:line="240" w:lineRule="auto"/>
            </w:pPr>
            <w:r>
              <w:rPr>
                <w:rFonts w:ascii="Aptos" w:hAnsi="Aptos"/>
                <w:color w:val="000000"/>
                <w:sz w:val="16"/>
              </w:rPr>
              <w:t>Persist or emit the complete decision record for the request.</w:t>
            </w:r>
          </w:p>
        </w:tc>
        <w:tc>
          <w:tcPr>
            <w:tcW w:type="dxa" w:w="3384"/>
            <w:vAlign w:val="center"/>
            <w:tcMar>
              <w:top w:w="90" w:type="dxa"/>
              <w:start w:w="110" w:type="dxa"/>
              <w:bottom w:w="90" w:type="dxa"/>
              <w:end w:w="110" w:type="dxa"/>
            </w:tcMar>
            <w:shd w:fill="F5F9FC"/>
          </w:tcPr>
          <w:p>
            <w:pPr>
              <w:spacing w:after="0" w:line="240" w:lineRule="auto"/>
            </w:pPr>
            <w:r>
              <w:rPr>
                <w:rFonts w:ascii="Aptos" w:hAnsi="Aptos"/>
                <w:color w:val="000000"/>
                <w:sz w:val="16"/>
              </w:rPr>
              <w:t>Traceable JSON record with timestamps and versions.</w:t>
            </w:r>
          </w:p>
        </w:tc>
      </w:tr>
    </w:tbl>
    <w:p>
      <w:pPr>
        <w:spacing w:after="20"/>
        <w:widowControl/>
      </w:pPr>
    </w:p>
    <w:p>
      <w:pPr>
        <w:pStyle w:val="Heading2"/>
      </w:pPr>
      <w:r>
        <w:t>Core policy principles</w:t>
      </w:r>
    </w:p>
    <w:p>
      <w:pPr>
        <w:pStyle w:val="ListNumber"/>
        <w:spacing w:after="60"/>
      </w:pPr>
      <w:r>
        <w:rPr>
          <w:rFonts w:ascii="Aptos" w:hAnsi="Aptos"/>
          <w:color w:val="000000"/>
          <w:sz w:val="20"/>
        </w:rPr>
        <w:t>Privacy processing occurs before risk classification, caching, routing, or audit logging of prompt content.</w:t>
      </w:r>
    </w:p>
    <w:p>
      <w:pPr>
        <w:pStyle w:val="ListNumber"/>
        <w:spacing w:after="60"/>
      </w:pPr>
      <w:r>
        <w:rPr>
          <w:rFonts w:ascii="Aptos" w:hAnsi="Aptos"/>
          <w:color w:val="000000"/>
          <w:sz w:val="20"/>
        </w:rPr>
        <w:t>BLOCK and ESCALATE outcomes stop before generation; only allowed cache misses reach routing.</w:t>
      </w:r>
    </w:p>
    <w:p>
      <w:pPr>
        <w:pStyle w:val="ListNumber"/>
        <w:spacing w:after="60"/>
      </w:pPr>
      <w:r>
        <w:rPr>
          <w:rFonts w:ascii="Aptos" w:hAnsi="Aptos"/>
          <w:color w:val="000000"/>
          <w:sz w:val="20"/>
        </w:rPr>
        <w:t>A valid cache hit avoids a new model call and retains policy and response provenance. Every applicable stage records its reason, threshold, version, and outcome.</w:t>
      </w:r>
    </w:p>
    <w:p>
      <w:pPr>
        <w:pStyle w:val="Heading1"/>
      </w:pPr>
      <w:r>
        <w:t>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893"/>
            <w:shd w:fill="18324A"/>
            <w:tcMar>
              <w:top w:w="90" w:type="dxa"/>
              <w:start w:w="110" w:type="dxa"/>
              <w:bottom w:w="90" w:type="dxa"/>
              <w:end w:w="110" w:type="dxa"/>
            </w:tcMar>
            <w:vAlign w:val="center"/>
          </w:tcPr>
          <w:p>
            <w:pPr>
              <w:spacing w:after="0"/>
              <w:jc w:val="center"/>
            </w:pPr>
            <w:r>
              <w:rPr>
                <w:rFonts w:ascii="Aptos" w:hAnsi="Aptos"/>
                <w:b/>
                <w:color w:val="FFFFFF"/>
                <w:sz w:val="17"/>
              </w:rPr>
              <w:t>ID</w:t>
            </w:r>
          </w:p>
        </w:tc>
        <w:tc>
          <w:tcPr>
            <w:tcW w:type="dxa" w:w="4536"/>
            <w:shd w:fill="18324A"/>
            <w:tcMar>
              <w:top w:w="90" w:type="dxa"/>
              <w:start w:w="110" w:type="dxa"/>
              <w:bottom w:w="90" w:type="dxa"/>
              <w:end w:w="110" w:type="dxa"/>
            </w:tcMar>
            <w:vAlign w:val="center"/>
          </w:tcPr>
          <w:p>
            <w:pPr>
              <w:spacing w:after="0"/>
              <w:jc w:val="center"/>
            </w:pPr>
            <w:r>
              <w:rPr>
                <w:rFonts w:ascii="Aptos" w:hAnsi="Aptos"/>
                <w:b/>
                <w:color w:val="FFFFFF"/>
                <w:sz w:val="17"/>
              </w:rPr>
              <w:t>Requirement</w:t>
            </w:r>
          </w:p>
        </w:tc>
        <w:tc>
          <w:tcPr>
            <w:tcW w:type="dxa" w:w="936"/>
            <w:shd w:fill="18324A"/>
            <w:tcMar>
              <w:top w:w="90" w:type="dxa"/>
              <w:start w:w="110" w:type="dxa"/>
              <w:bottom w:w="90" w:type="dxa"/>
              <w:end w:w="110" w:type="dxa"/>
            </w:tcMar>
            <w:vAlign w:val="center"/>
          </w:tcPr>
          <w:p>
            <w:pPr>
              <w:spacing w:after="0"/>
              <w:jc w:val="center"/>
            </w:pPr>
            <w:r>
              <w:rPr>
                <w:rFonts w:ascii="Aptos" w:hAnsi="Aptos"/>
                <w:b/>
                <w:color w:val="FFFFFF"/>
                <w:sz w:val="17"/>
              </w:rPr>
              <w:t>Priority</w:t>
            </w:r>
          </w:p>
        </w:tc>
        <w:tc>
          <w:tcPr>
            <w:tcW w:type="dxa" w:w="3067"/>
            <w:shd w:fill="18324A"/>
            <w:tcMar>
              <w:top w:w="90" w:type="dxa"/>
              <w:start w:w="110" w:type="dxa"/>
              <w:bottom w:w="90" w:type="dxa"/>
              <w:end w:w="110" w:type="dxa"/>
            </w:tcMar>
            <w:vAlign w:val="center"/>
          </w:tcPr>
          <w:p>
            <w:pPr>
              <w:spacing w:after="0"/>
              <w:jc w:val="center"/>
            </w:pPr>
            <w:r>
              <w:rPr>
                <w:rFonts w:ascii="Aptos" w:hAnsi="Aptos"/>
                <w:b/>
                <w:color w:val="FFFFFF"/>
                <w:sz w:val="17"/>
              </w:rPr>
              <w:t>Acceptance evidence</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01</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expose a Python interface that accepts a text query and returns a disposition, response, and decision record.</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Automated test and live demonstration.</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02</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normalize supported text and record detected language.</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Decision record fields populated for test inputs.</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03</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detect and mask configured account and card number patterns before later stages.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Privacy test cases show masked downstream prompt and logs.</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04</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classify prompt risk and provide labels, scores, and classifier version.</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Evaluation output and decision record.</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05</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identify toxic, jailbreak, harmful, and regulated-advice categories defined in the policy taxonomy.</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Labeled test set results by category.</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06</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apply versioned rules from a configurable YAML policy file.</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Policy changes alter results without source-code edits.</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07</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policy engine shall return ALLOW, BLOCK, or ESCALATE and a human-readable reason.</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Demonstration cases for all outcomes.</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08</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stop processing before model routing when policy returns BLOCK or ESCALATE.</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Trace shows no model route or model call.</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09</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search prior approved answers using semantic similarity for eligible allowed prompts.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Cache evaluation and demonstration.</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10</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apply configurable similarity thresholds and time-to-live rules by intent or cache policy.</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Threshold sweep and TTL configuration.</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11</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report cache hits, misses, similarity scores, and reuse provenance.</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Decision record and dashboard.</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12</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recommend the least expensive model tier judged sufficient for an allowed cache miss.</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Should</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Routing tests and tier distribution.</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13</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count original and processed input tokens and estimate cost under documented model prices.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Workload comparison report.</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14</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optimize eligible prompts while preserving essential intent and record the transformation.</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Should</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Paired token counts and quality checks.</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15</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support simulated model-tier responses for evaluation and demonstration.</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End-to-end run without commercial API dependency.</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16</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create one structured decision record for every processed query, including blocked and cached queries.</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Record count equals query count.</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17</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Streamlit application shall show each processing stage and final outcome for a single query.</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Interactive demonstration.</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18</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dashboard shall summarize block rate, cache results, model-tier split, token savings, and estimated cost savings.</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Aggregate workload view.</w:t>
            </w:r>
          </w:p>
        </w:tc>
      </w:tr>
    </w:tbl>
    <w:p>
      <w:pPr>
        <w:spacing w:after="20"/>
        <w:widowControl/>
      </w:pPr>
    </w:p>
    <w:p>
      <w:pPr>
        <w:widowControl/>
      </w:pPr>
      <w:r>
        <w:br w:type="page"/>
      </w:r>
    </w:p>
    <w:p>
      <w:pPr>
        <w:pStyle w:val="Heading1"/>
      </w:pPr>
      <w:r>
        <w:t>Functional requirements continued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893"/>
            <w:shd w:fill="18324A"/>
            <w:tcMar>
              <w:top w:w="90" w:type="dxa"/>
              <w:start w:w="110" w:type="dxa"/>
              <w:bottom w:w="90" w:type="dxa"/>
              <w:end w:w="110" w:type="dxa"/>
            </w:tcMar>
            <w:vAlign w:val="center"/>
          </w:tcPr>
          <w:p>
            <w:pPr>
              <w:spacing w:after="0"/>
              <w:jc w:val="center"/>
            </w:pPr>
            <w:r>
              <w:rPr>
                <w:rFonts w:ascii="Aptos" w:hAnsi="Aptos"/>
                <w:b/>
                <w:color w:val="FFFFFF"/>
                <w:sz w:val="17"/>
              </w:rPr>
              <w:t>ID</w:t>
            </w:r>
          </w:p>
        </w:tc>
        <w:tc>
          <w:tcPr>
            <w:tcW w:type="dxa" w:w="4536"/>
            <w:shd w:fill="18324A"/>
            <w:tcMar>
              <w:top w:w="90" w:type="dxa"/>
              <w:start w:w="110" w:type="dxa"/>
              <w:bottom w:w="90" w:type="dxa"/>
              <w:end w:w="110" w:type="dxa"/>
            </w:tcMar>
            <w:vAlign w:val="center"/>
          </w:tcPr>
          <w:p>
            <w:pPr>
              <w:spacing w:after="0"/>
              <w:jc w:val="center"/>
            </w:pPr>
            <w:r>
              <w:rPr>
                <w:rFonts w:ascii="Aptos" w:hAnsi="Aptos"/>
                <w:b/>
                <w:color w:val="FFFFFF"/>
                <w:sz w:val="17"/>
              </w:rPr>
              <w:t>Requirement</w:t>
            </w:r>
          </w:p>
        </w:tc>
        <w:tc>
          <w:tcPr>
            <w:tcW w:type="dxa" w:w="936"/>
            <w:shd w:fill="18324A"/>
            <w:tcMar>
              <w:top w:w="90" w:type="dxa"/>
              <w:start w:w="110" w:type="dxa"/>
              <w:bottom w:w="90" w:type="dxa"/>
              <w:end w:w="110" w:type="dxa"/>
            </w:tcMar>
            <w:vAlign w:val="center"/>
          </w:tcPr>
          <w:p>
            <w:pPr>
              <w:spacing w:after="0"/>
              <w:jc w:val="center"/>
            </w:pPr>
            <w:r>
              <w:rPr>
                <w:rFonts w:ascii="Aptos" w:hAnsi="Aptos"/>
                <w:b/>
                <w:color w:val="FFFFFF"/>
                <w:sz w:val="17"/>
              </w:rPr>
              <w:t>Priority</w:t>
            </w:r>
          </w:p>
        </w:tc>
        <w:tc>
          <w:tcPr>
            <w:tcW w:type="dxa" w:w="3067"/>
            <w:shd w:fill="18324A"/>
            <w:tcMar>
              <w:top w:w="90" w:type="dxa"/>
              <w:start w:w="110" w:type="dxa"/>
              <w:bottom w:w="90" w:type="dxa"/>
              <w:end w:w="110" w:type="dxa"/>
            </w:tcMar>
            <w:vAlign w:val="center"/>
          </w:tcPr>
          <w:p>
            <w:pPr>
              <w:spacing w:after="0"/>
              <w:jc w:val="center"/>
            </w:pPr>
            <w:r>
              <w:rPr>
                <w:rFonts w:ascii="Aptos" w:hAnsi="Aptos"/>
                <w:b/>
                <w:color w:val="FFFFFF"/>
                <w:sz w:val="17"/>
              </w:rPr>
              <w:t>Acceptance evidence</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19</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evaluation workflow shall report safety metrics separately for the public benchmark and the banking-flavored attack set.</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Easy and hard evaluation tables.</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20</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evaluation workflow shall calculate cache precision and recall using Banking77 intent labels, not only cache hit rate.</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Precision recall curve and selected threshold.</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21</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allow evaluators to reproduce a workload run using saved configuration and version identifiers.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Should</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Run manifest and repeatable command.</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22</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repository shall include installation, usage, architecture, evaluation, and limitation documentation.</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Reviewer can run the documented workflow.</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23</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test workload shall include benign banking queries, toxic and jailbreak prompts, multi-step questions, repeated queries, and near-duplicate queries.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Must</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Workload inventory and results.</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FR 24</w:t>
            </w:r>
          </w:p>
        </w:tc>
        <w:tc>
          <w:tcPr>
            <w:tcW w:type="dxa" w:w="4536"/>
            <w:vAlign w:val="center"/>
            <w:tcMar>
              <w:top w:w="90" w:type="dxa"/>
              <w:start w:w="110" w:type="dxa"/>
              <w:bottom w:w="90" w:type="dxa"/>
              <w:end w:w="110" w:type="dxa"/>
            </w:tcMar>
            <w:shd w:fill="F5F9FC"/>
          </w:tcPr>
          <w:p>
            <w:pPr>
              <w:spacing w:after="0" w:line="240" w:lineRule="auto"/>
            </w:pPr>
            <w:r>
              <w:rPr>
                <w:rFonts w:ascii="Aptos" w:hAnsi="Aptos"/>
                <w:color w:val="000000"/>
                <w:sz w:val="16"/>
              </w:rPr>
              <w:t>The system shall preserve the original source identifier and ground-truth label where licensing and privacy rules permit.</w:t>
            </w:r>
          </w:p>
        </w:tc>
        <w:tc>
          <w:tcPr>
            <w:tcW w:type="dxa" w:w="936"/>
            <w:vAlign w:val="center"/>
            <w:tcMar>
              <w:top w:w="90" w:type="dxa"/>
              <w:start w:w="110" w:type="dxa"/>
              <w:bottom w:w="90" w:type="dxa"/>
              <w:end w:w="110" w:type="dxa"/>
            </w:tcMar>
            <w:shd w:fill="F5F9FC"/>
          </w:tcPr>
          <w:p>
            <w:pPr>
              <w:spacing w:after="0" w:line="240" w:lineRule="auto"/>
            </w:pPr>
            <w:r>
              <w:rPr>
                <w:rFonts w:ascii="Aptos" w:hAnsi="Aptos"/>
                <w:color w:val="000000"/>
                <w:sz w:val="16"/>
              </w:rPr>
              <w:t>Should</w:t>
            </w:r>
          </w:p>
        </w:tc>
        <w:tc>
          <w:tcPr>
            <w:tcW w:type="dxa" w:w="3067"/>
            <w:vAlign w:val="center"/>
            <w:tcMar>
              <w:top w:w="90" w:type="dxa"/>
              <w:start w:w="110" w:type="dxa"/>
              <w:bottom w:w="90" w:type="dxa"/>
              <w:end w:w="110" w:type="dxa"/>
            </w:tcMar>
            <w:shd w:fill="F5F9FC"/>
          </w:tcPr>
          <w:p>
            <w:pPr>
              <w:spacing w:after="0" w:line="240" w:lineRule="auto"/>
            </w:pPr>
            <w:r>
              <w:rPr>
                <w:rFonts w:ascii="Aptos" w:hAnsi="Aptos"/>
                <w:color w:val="000000"/>
                <w:sz w:val="16"/>
              </w:rPr>
              <w:t>Evaluation records trace to test samples.</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FR 25</w:t>
            </w:r>
          </w:p>
        </w:tc>
        <w:tc>
          <w:tcPr>
            <w:tcW w:type="dxa" w:w="4536"/>
            <w:vAlign w:val="center"/>
            <w:tcMar>
              <w:top w:w="90" w:type="dxa"/>
              <w:start w:w="110" w:type="dxa"/>
              <w:bottom w:w="90" w:type="dxa"/>
              <w:end w:w="110" w:type="dxa"/>
            </w:tcMar>
          </w:tcPr>
          <w:p>
            <w:pPr>
              <w:spacing w:after="0" w:line="240" w:lineRule="auto"/>
            </w:pPr>
            <w:r>
              <w:rPr>
                <w:rFonts w:ascii="Aptos" w:hAnsi="Aptos"/>
                <w:color w:val="000000"/>
                <w:sz w:val="16"/>
              </w:rPr>
              <w:t>The system shall make policy, threshold, classifier, embedding, tokenizer, and cost-model versions available in evaluation outputs.</w:t>
            </w:r>
          </w:p>
        </w:tc>
        <w:tc>
          <w:tcPr>
            <w:tcW w:type="dxa" w:w="936"/>
            <w:vAlign w:val="center"/>
            <w:tcMar>
              <w:top w:w="90" w:type="dxa"/>
              <w:start w:w="110" w:type="dxa"/>
              <w:bottom w:w="90" w:type="dxa"/>
              <w:end w:w="110" w:type="dxa"/>
            </w:tcMar>
          </w:tcPr>
          <w:p>
            <w:pPr>
              <w:spacing w:after="0" w:line="240" w:lineRule="auto"/>
            </w:pPr>
            <w:r>
              <w:rPr>
                <w:rFonts w:ascii="Aptos" w:hAnsi="Aptos"/>
                <w:color w:val="000000"/>
                <w:sz w:val="16"/>
              </w:rPr>
              <w:t>Should</w:t>
            </w:r>
          </w:p>
        </w:tc>
        <w:tc>
          <w:tcPr>
            <w:tcW w:type="dxa" w:w="3067"/>
            <w:vAlign w:val="center"/>
            <w:tcMar>
              <w:top w:w="90" w:type="dxa"/>
              <w:start w:w="110" w:type="dxa"/>
              <w:bottom w:w="90" w:type="dxa"/>
              <w:end w:w="110" w:type="dxa"/>
            </w:tcMar>
          </w:tcPr>
          <w:p>
            <w:pPr>
              <w:spacing w:after="0" w:line="240" w:lineRule="auto"/>
            </w:pPr>
            <w:r>
              <w:rPr>
                <w:rFonts w:ascii="Aptos" w:hAnsi="Aptos"/>
                <w:color w:val="000000"/>
                <w:sz w:val="16"/>
              </w:rPr>
              <w:t>Version fields in run artifacts.</w:t>
            </w:r>
          </w:p>
        </w:tc>
      </w:tr>
    </w:tbl>
    <w:p>
      <w:pPr>
        <w:spacing w:after="20"/>
        <w:widowControl/>
      </w:pPr>
    </w:p>
    <w:p>
      <w:pPr>
        <w:widowControl/>
      </w:pPr>
      <w:r>
        <w:br w:type="page"/>
      </w:r>
    </w:p>
    <w:p>
      <w:pPr>
        <w:pStyle w:val="Heading1"/>
      </w:pPr>
      <w:r>
        <w:t>Nonfunctional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80"/>
            <w:shd w:fill="18324A"/>
            <w:tcMar>
              <w:top w:w="90" w:type="dxa"/>
              <w:start w:w="110" w:type="dxa"/>
              <w:bottom w:w="90" w:type="dxa"/>
              <w:end w:w="110" w:type="dxa"/>
            </w:tcMar>
            <w:vAlign w:val="center"/>
          </w:tcPr>
          <w:p>
            <w:pPr>
              <w:spacing w:after="0"/>
              <w:jc w:val="center"/>
            </w:pPr>
            <w:r>
              <w:rPr>
                <w:rFonts w:ascii="Aptos" w:hAnsi="Aptos"/>
                <w:b/>
                <w:color w:val="FFFFFF"/>
                <w:sz w:val="17"/>
              </w:rPr>
              <w:t>ID</w:t>
            </w:r>
          </w:p>
        </w:tc>
        <w:tc>
          <w:tcPr>
            <w:tcW w:type="dxa" w:w="5760"/>
            <w:shd w:fill="18324A"/>
            <w:tcMar>
              <w:top w:w="90" w:type="dxa"/>
              <w:start w:w="110" w:type="dxa"/>
              <w:bottom w:w="90" w:type="dxa"/>
              <w:end w:w="110" w:type="dxa"/>
            </w:tcMar>
            <w:vAlign w:val="center"/>
          </w:tcPr>
          <w:p>
            <w:pPr>
              <w:spacing w:after="0"/>
              <w:jc w:val="center"/>
            </w:pPr>
            <w:r>
              <w:rPr>
                <w:rFonts w:ascii="Aptos" w:hAnsi="Aptos"/>
                <w:b/>
                <w:color w:val="FFFFFF"/>
                <w:sz w:val="17"/>
              </w:rPr>
              <w:t>Requirement</w:t>
            </w:r>
          </w:p>
        </w:tc>
        <w:tc>
          <w:tcPr>
            <w:tcW w:type="dxa" w:w="2592"/>
            <w:shd w:fill="18324A"/>
            <w:tcMar>
              <w:top w:w="90" w:type="dxa"/>
              <w:start w:w="110" w:type="dxa"/>
              <w:bottom w:w="90" w:type="dxa"/>
              <w:end w:w="110" w:type="dxa"/>
            </w:tcMar>
            <w:vAlign w:val="center"/>
          </w:tcPr>
          <w:p>
            <w:pPr>
              <w:spacing w:after="0"/>
              <w:jc w:val="center"/>
            </w:pPr>
            <w:r>
              <w:rPr>
                <w:rFonts w:ascii="Aptos" w:hAnsi="Aptos"/>
                <w:b/>
                <w:color w:val="FFFFFF"/>
                <w:sz w:val="17"/>
              </w:rPr>
              <w:t>Acceptance evidence</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NFR 01</w:t>
            </w:r>
          </w:p>
        </w:tc>
        <w:tc>
          <w:tcPr>
            <w:tcW w:type="dxa" w:w="5760"/>
            <w:vAlign w:val="center"/>
            <w:tcMar>
              <w:top w:w="90" w:type="dxa"/>
              <w:start w:w="110" w:type="dxa"/>
              <w:bottom w:w="90" w:type="dxa"/>
              <w:end w:w="110" w:type="dxa"/>
            </w:tcMar>
          </w:tcPr>
          <w:p>
            <w:pPr>
              <w:spacing w:after="0" w:line="240" w:lineRule="auto"/>
            </w:pPr>
            <w:r>
              <w:rPr>
                <w:rFonts w:ascii="Aptos" w:hAnsi="Aptos"/>
                <w:color w:val="000000"/>
                <w:sz w:val="16"/>
              </w:rPr>
              <w:t>Governance overhead shall be measured and reported separately from any simulated generation latency.</w:t>
            </w:r>
          </w:p>
        </w:tc>
        <w:tc>
          <w:tcPr>
            <w:tcW w:type="dxa" w:w="2592"/>
            <w:vAlign w:val="center"/>
            <w:tcMar>
              <w:top w:w="90" w:type="dxa"/>
              <w:start w:w="110" w:type="dxa"/>
              <w:bottom w:w="90" w:type="dxa"/>
              <w:end w:w="110" w:type="dxa"/>
            </w:tcMar>
          </w:tcPr>
          <w:p>
            <w:pPr>
              <w:spacing w:after="0" w:line="240" w:lineRule="auto"/>
            </w:pPr>
            <w:r>
              <w:rPr>
                <w:rFonts w:ascii="Aptos" w:hAnsi="Aptos"/>
                <w:color w:val="000000"/>
                <w:sz w:val="16"/>
              </w:rPr>
              <w:t>Latency summary by stage.</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NFR 02</w:t>
            </w:r>
          </w:p>
        </w:tc>
        <w:tc>
          <w:tcPr>
            <w:tcW w:type="dxa" w:w="5760"/>
            <w:vAlign w:val="center"/>
            <w:tcMar>
              <w:top w:w="90" w:type="dxa"/>
              <w:start w:w="110" w:type="dxa"/>
              <w:bottom w:w="90" w:type="dxa"/>
              <w:end w:w="110" w:type="dxa"/>
            </w:tcMar>
            <w:shd w:fill="F5F9FC"/>
          </w:tcPr>
          <w:p>
            <w:pPr>
              <w:spacing w:after="0" w:line="240" w:lineRule="auto"/>
            </w:pPr>
            <w:r>
              <w:rPr>
                <w:rFonts w:ascii="Aptos" w:hAnsi="Aptos"/>
                <w:color w:val="000000"/>
                <w:sz w:val="16"/>
              </w:rPr>
              <w:t>The lightweight risk gate shall run locally on a typical development laptop or free notebook environment.</w:t>
            </w:r>
          </w:p>
        </w:tc>
        <w:tc>
          <w:tcPr>
            <w:tcW w:type="dxa" w:w="2592"/>
            <w:vAlign w:val="center"/>
            <w:tcMar>
              <w:top w:w="90" w:type="dxa"/>
              <w:start w:w="110" w:type="dxa"/>
              <w:bottom w:w="90" w:type="dxa"/>
              <w:end w:w="110" w:type="dxa"/>
            </w:tcMar>
            <w:shd w:fill="F5F9FC"/>
          </w:tcPr>
          <w:p>
            <w:pPr>
              <w:spacing w:after="0" w:line="240" w:lineRule="auto"/>
            </w:pPr>
            <w:r>
              <w:rPr>
                <w:rFonts w:ascii="Aptos" w:hAnsi="Aptos"/>
                <w:color w:val="000000"/>
                <w:sz w:val="16"/>
              </w:rPr>
              <w:t>Demonstrated on target environment.</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NFR 03</w:t>
            </w:r>
          </w:p>
        </w:tc>
        <w:tc>
          <w:tcPr>
            <w:tcW w:type="dxa" w:w="5760"/>
            <w:vAlign w:val="center"/>
            <w:tcMar>
              <w:top w:w="90" w:type="dxa"/>
              <w:start w:w="110" w:type="dxa"/>
              <w:bottom w:w="90" w:type="dxa"/>
              <w:end w:w="110" w:type="dxa"/>
            </w:tcMar>
          </w:tcPr>
          <w:p>
            <w:pPr>
              <w:spacing w:after="0" w:line="240" w:lineRule="auto"/>
            </w:pPr>
            <w:r>
              <w:rPr>
                <w:rFonts w:ascii="Aptos" w:hAnsi="Aptos"/>
                <w:color w:val="000000"/>
                <w:sz w:val="16"/>
              </w:rPr>
              <w:t>No raw detected account or card number shall appear in downstream prompts, cache keys, dashboard views, or audit logs.</w:t>
            </w:r>
          </w:p>
        </w:tc>
        <w:tc>
          <w:tcPr>
            <w:tcW w:type="dxa" w:w="2592"/>
            <w:vAlign w:val="center"/>
            <w:tcMar>
              <w:top w:w="90" w:type="dxa"/>
              <w:start w:w="110" w:type="dxa"/>
              <w:bottom w:w="90" w:type="dxa"/>
              <w:end w:w="110" w:type="dxa"/>
            </w:tcMar>
          </w:tcPr>
          <w:p>
            <w:pPr>
              <w:spacing w:after="0" w:line="240" w:lineRule="auto"/>
            </w:pPr>
            <w:r>
              <w:rPr>
                <w:rFonts w:ascii="Aptos" w:hAnsi="Aptos"/>
                <w:color w:val="000000"/>
                <w:sz w:val="16"/>
              </w:rPr>
              <w:t>Privacy test suite and log inspection.</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NFR 04</w:t>
            </w:r>
          </w:p>
        </w:tc>
        <w:tc>
          <w:tcPr>
            <w:tcW w:type="dxa" w:w="5760"/>
            <w:vAlign w:val="center"/>
            <w:tcMar>
              <w:top w:w="90" w:type="dxa"/>
              <w:start w:w="110" w:type="dxa"/>
              <w:bottom w:w="90" w:type="dxa"/>
              <w:end w:w="110" w:type="dxa"/>
            </w:tcMar>
            <w:shd w:fill="F5F9FC"/>
          </w:tcPr>
          <w:p>
            <w:pPr>
              <w:spacing w:after="0" w:line="240" w:lineRule="auto"/>
            </w:pPr>
            <w:r>
              <w:rPr>
                <w:rFonts w:ascii="Aptos" w:hAnsi="Aptos"/>
                <w:color w:val="000000"/>
                <w:sz w:val="16"/>
              </w:rPr>
              <w:t>Policy and threshold changes shall be configuration-driven and versioned.</w:t>
            </w:r>
          </w:p>
        </w:tc>
        <w:tc>
          <w:tcPr>
            <w:tcW w:type="dxa" w:w="2592"/>
            <w:vAlign w:val="center"/>
            <w:tcMar>
              <w:top w:w="90" w:type="dxa"/>
              <w:start w:w="110" w:type="dxa"/>
              <w:bottom w:w="90" w:type="dxa"/>
              <w:end w:w="110" w:type="dxa"/>
            </w:tcMar>
            <w:shd w:fill="F5F9FC"/>
          </w:tcPr>
          <w:p>
            <w:pPr>
              <w:spacing w:after="0" w:line="240" w:lineRule="auto"/>
            </w:pPr>
            <w:r>
              <w:rPr>
                <w:rFonts w:ascii="Aptos" w:hAnsi="Aptos"/>
                <w:color w:val="000000"/>
                <w:sz w:val="16"/>
              </w:rPr>
              <w:t>Configuration review and version output.</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NFR 05</w:t>
            </w:r>
          </w:p>
        </w:tc>
        <w:tc>
          <w:tcPr>
            <w:tcW w:type="dxa" w:w="5760"/>
            <w:vAlign w:val="center"/>
            <w:tcMar>
              <w:top w:w="90" w:type="dxa"/>
              <w:start w:w="110" w:type="dxa"/>
              <w:bottom w:w="90" w:type="dxa"/>
              <w:end w:w="110" w:type="dxa"/>
            </w:tcMar>
          </w:tcPr>
          <w:p>
            <w:pPr>
              <w:spacing w:after="0" w:line="240" w:lineRule="auto"/>
            </w:pPr>
            <w:r>
              <w:rPr>
                <w:rFonts w:ascii="Aptos" w:hAnsi="Aptos"/>
                <w:color w:val="000000"/>
                <w:sz w:val="16"/>
              </w:rPr>
              <w:t>Results shall be reproducible with fixed dataset versions, splits, seeds, and run configuration.</w:t>
            </w:r>
          </w:p>
        </w:tc>
        <w:tc>
          <w:tcPr>
            <w:tcW w:type="dxa" w:w="2592"/>
            <w:vAlign w:val="center"/>
            <w:tcMar>
              <w:top w:w="90" w:type="dxa"/>
              <w:start w:w="110" w:type="dxa"/>
              <w:bottom w:w="90" w:type="dxa"/>
              <w:end w:w="110" w:type="dxa"/>
            </w:tcMar>
          </w:tcPr>
          <w:p>
            <w:pPr>
              <w:spacing w:after="0" w:line="240" w:lineRule="auto"/>
            </w:pPr>
            <w:r>
              <w:rPr>
                <w:rFonts w:ascii="Aptos" w:hAnsi="Aptos"/>
                <w:color w:val="000000"/>
                <w:sz w:val="16"/>
              </w:rPr>
              <w:t>Repeat run within documented tolerance.</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NFR 06</w:t>
            </w:r>
          </w:p>
        </w:tc>
        <w:tc>
          <w:tcPr>
            <w:tcW w:type="dxa" w:w="5760"/>
            <w:vAlign w:val="center"/>
            <w:tcMar>
              <w:top w:w="90" w:type="dxa"/>
              <w:start w:w="110" w:type="dxa"/>
              <w:bottom w:w="90" w:type="dxa"/>
              <w:end w:w="110" w:type="dxa"/>
            </w:tcMar>
            <w:shd w:fill="F5F9FC"/>
          </w:tcPr>
          <w:p>
            <w:pPr>
              <w:spacing w:after="0" w:line="240" w:lineRule="auto"/>
            </w:pPr>
            <w:r>
              <w:rPr>
                <w:rFonts w:ascii="Aptos" w:hAnsi="Aptos"/>
                <w:color w:val="000000"/>
                <w:sz w:val="16"/>
              </w:rPr>
              <w:t>The demonstration interface shall clearly distinguish generated, simulated, cached, blocked, and escalated outcomes.</w:t>
            </w:r>
          </w:p>
        </w:tc>
        <w:tc>
          <w:tcPr>
            <w:tcW w:type="dxa" w:w="2592"/>
            <w:vAlign w:val="center"/>
            <w:tcMar>
              <w:top w:w="90" w:type="dxa"/>
              <w:start w:w="110" w:type="dxa"/>
              <w:bottom w:w="90" w:type="dxa"/>
              <w:end w:w="110" w:type="dxa"/>
            </w:tcMar>
            <w:shd w:fill="F5F9FC"/>
          </w:tcPr>
          <w:p>
            <w:pPr>
              <w:spacing w:after="0" w:line="240" w:lineRule="auto"/>
            </w:pPr>
            <w:r>
              <w:rPr>
                <w:rFonts w:ascii="Aptos" w:hAnsi="Aptos"/>
                <w:color w:val="000000"/>
                <w:sz w:val="16"/>
              </w:rPr>
              <w:t>Visual review and test scenarios.</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NFR 07</w:t>
            </w:r>
          </w:p>
        </w:tc>
        <w:tc>
          <w:tcPr>
            <w:tcW w:type="dxa" w:w="5760"/>
            <w:vAlign w:val="center"/>
            <w:tcMar>
              <w:top w:w="90" w:type="dxa"/>
              <w:start w:w="110" w:type="dxa"/>
              <w:bottom w:w="90" w:type="dxa"/>
              <w:end w:w="110" w:type="dxa"/>
            </w:tcMar>
          </w:tcPr>
          <w:p>
            <w:pPr>
              <w:spacing w:after="0" w:line="240" w:lineRule="auto"/>
            </w:pPr>
            <w:r>
              <w:rPr>
                <w:rFonts w:ascii="Aptos" w:hAnsi="Aptos"/>
                <w:color w:val="000000"/>
                <w:sz w:val="16"/>
              </w:rPr>
              <w:t>The system shall fail closed for missing or invalid required policy configuration.</w:t>
            </w:r>
          </w:p>
        </w:tc>
        <w:tc>
          <w:tcPr>
            <w:tcW w:type="dxa" w:w="2592"/>
            <w:vAlign w:val="center"/>
            <w:tcMar>
              <w:top w:w="90" w:type="dxa"/>
              <w:start w:w="110" w:type="dxa"/>
              <w:bottom w:w="90" w:type="dxa"/>
              <w:end w:w="110" w:type="dxa"/>
            </w:tcMar>
          </w:tcPr>
          <w:p>
            <w:pPr>
              <w:spacing w:after="0" w:line="240" w:lineRule="auto"/>
            </w:pPr>
            <w:r>
              <w:rPr>
                <w:rFonts w:ascii="Aptos" w:hAnsi="Aptos"/>
                <w:color w:val="000000"/>
                <w:sz w:val="16"/>
              </w:rPr>
              <w:t>Negative configuration tests.</w:t>
            </w:r>
          </w:p>
        </w:tc>
      </w:tr>
      <w:tr>
        <w:tc>
          <w:tcPr>
            <w:tcW w:type="dxa" w:w="1080"/>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NFR 08</w:t>
            </w:r>
          </w:p>
        </w:tc>
        <w:tc>
          <w:tcPr>
            <w:tcW w:type="dxa" w:w="5760"/>
            <w:vAlign w:val="center"/>
            <w:tcMar>
              <w:top w:w="90" w:type="dxa"/>
              <w:start w:w="110" w:type="dxa"/>
              <w:bottom w:w="90" w:type="dxa"/>
              <w:end w:w="110" w:type="dxa"/>
            </w:tcMar>
            <w:shd w:fill="F5F9FC"/>
          </w:tcPr>
          <w:p>
            <w:pPr>
              <w:spacing w:after="0" w:line="240" w:lineRule="auto"/>
            </w:pPr>
            <w:r>
              <w:rPr>
                <w:rFonts w:ascii="Aptos" w:hAnsi="Aptos"/>
                <w:color w:val="000000"/>
                <w:sz w:val="16"/>
              </w:rPr>
              <w:t>The repository shall separate source data handling, models, policy configuration, cache logic, routing, evaluation, and user interface concerns.</w:t>
            </w:r>
          </w:p>
        </w:tc>
        <w:tc>
          <w:tcPr>
            <w:tcW w:type="dxa" w:w="2592"/>
            <w:vAlign w:val="center"/>
            <w:tcMar>
              <w:top w:w="90" w:type="dxa"/>
              <w:start w:w="110" w:type="dxa"/>
              <w:bottom w:w="90" w:type="dxa"/>
              <w:end w:w="110" w:type="dxa"/>
            </w:tcMar>
            <w:shd w:fill="F5F9FC"/>
          </w:tcPr>
          <w:p>
            <w:pPr>
              <w:spacing w:after="0" w:line="240" w:lineRule="auto"/>
            </w:pPr>
            <w:r>
              <w:rPr>
                <w:rFonts w:ascii="Aptos" w:hAnsi="Aptos"/>
                <w:color w:val="000000"/>
                <w:sz w:val="16"/>
              </w:rPr>
              <w:t>Architecture and code review.</w:t>
            </w:r>
          </w:p>
        </w:tc>
      </w:tr>
      <w:tr>
        <w:tc>
          <w:tcPr>
            <w:tcW w:type="dxa" w:w="1080"/>
            <w:vAlign w:val="center"/>
            <w:tcMar>
              <w:top w:w="90" w:type="dxa"/>
              <w:start w:w="110" w:type="dxa"/>
              <w:bottom w:w="90" w:type="dxa"/>
              <w:end w:w="110" w:type="dxa"/>
            </w:tcMar>
          </w:tcPr>
          <w:p>
            <w:pPr>
              <w:spacing w:after="0" w:line="240" w:lineRule="auto"/>
              <w:jc w:val="center"/>
            </w:pPr>
            <w:r>
              <w:rPr>
                <w:rFonts w:ascii="Aptos" w:hAnsi="Aptos"/>
                <w:color w:val="000000"/>
                <w:sz w:val="16"/>
              </w:rPr>
              <w:t>NFR 09</w:t>
            </w:r>
          </w:p>
        </w:tc>
        <w:tc>
          <w:tcPr>
            <w:tcW w:type="dxa" w:w="5760"/>
            <w:vAlign w:val="center"/>
            <w:tcMar>
              <w:top w:w="90" w:type="dxa"/>
              <w:start w:w="110" w:type="dxa"/>
              <w:bottom w:w="90" w:type="dxa"/>
              <w:end w:w="110" w:type="dxa"/>
            </w:tcMar>
          </w:tcPr>
          <w:p>
            <w:pPr>
              <w:spacing w:after="0" w:line="240" w:lineRule="auto"/>
            </w:pPr>
            <w:r>
              <w:rPr>
                <w:rFonts w:ascii="Aptos" w:hAnsi="Aptos"/>
                <w:color w:val="000000"/>
                <w:sz w:val="16"/>
              </w:rPr>
              <w:t>The solution shall document data licenses, known bias, class imbalance, and generalization limits.</w:t>
            </w:r>
          </w:p>
        </w:tc>
        <w:tc>
          <w:tcPr>
            <w:tcW w:type="dxa" w:w="2592"/>
            <w:vAlign w:val="center"/>
            <w:tcMar>
              <w:top w:w="90" w:type="dxa"/>
              <w:start w:w="110" w:type="dxa"/>
              <w:bottom w:w="90" w:type="dxa"/>
              <w:end w:w="110" w:type="dxa"/>
            </w:tcMar>
          </w:tcPr>
          <w:p>
            <w:pPr>
              <w:spacing w:after="0" w:line="240" w:lineRule="auto"/>
            </w:pPr>
            <w:r>
              <w:rPr>
                <w:rFonts w:ascii="Aptos" w:hAnsi="Aptos"/>
                <w:color w:val="000000"/>
                <w:sz w:val="16"/>
              </w:rPr>
              <w:t>Limitations section and dataset register.</w:t>
            </w:r>
          </w:p>
        </w:tc>
      </w:tr>
    </w:tbl>
    <w:p>
      <w:pPr>
        <w:spacing w:after="20"/>
        <w:widowControl/>
      </w:pPr>
    </w:p>
    <w:p>
      <w:pPr>
        <w:widowControl/>
      </w:pPr>
      <w:r>
        <w:br w:type="page"/>
      </w:r>
    </w:p>
    <w:p>
      <w:pPr>
        <w:pStyle w:val="Heading1"/>
      </w:pPr>
      <w:r>
        <w:t>Data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8324A"/>
            <w:tcMar>
              <w:top w:w="90" w:type="dxa"/>
              <w:start w:w="110" w:type="dxa"/>
              <w:bottom w:w="90" w:type="dxa"/>
              <w:end w:w="110" w:type="dxa"/>
            </w:tcMar>
            <w:vAlign w:val="center"/>
          </w:tcPr>
          <w:p>
            <w:pPr>
              <w:spacing w:after="0"/>
              <w:jc w:val="center"/>
            </w:pPr>
            <w:r>
              <w:rPr>
                <w:rFonts w:ascii="Aptos" w:hAnsi="Aptos"/>
                <w:b/>
                <w:color w:val="FFFFFF"/>
                <w:sz w:val="17"/>
              </w:rPr>
              <w:t>Dataset</w:t>
            </w:r>
          </w:p>
        </w:tc>
        <w:tc>
          <w:tcPr>
            <w:tcW w:type="dxa" w:w="3168"/>
            <w:shd w:fill="18324A"/>
            <w:tcMar>
              <w:top w:w="90" w:type="dxa"/>
              <w:start w:w="110" w:type="dxa"/>
              <w:bottom w:w="90" w:type="dxa"/>
              <w:end w:w="110" w:type="dxa"/>
            </w:tcMar>
            <w:vAlign w:val="center"/>
          </w:tcPr>
          <w:p>
            <w:pPr>
              <w:spacing w:after="0"/>
              <w:jc w:val="center"/>
            </w:pPr>
            <w:r>
              <w:rPr>
                <w:rFonts w:ascii="Aptos" w:hAnsi="Aptos"/>
                <w:b/>
                <w:color w:val="FFFFFF"/>
                <w:sz w:val="17"/>
              </w:rPr>
              <w:t>Purpose</w:t>
            </w:r>
          </w:p>
        </w:tc>
        <w:tc>
          <w:tcPr>
            <w:tcW w:type="dxa" w:w="4464"/>
            <w:shd w:fill="18324A"/>
            <w:tcMar>
              <w:top w:w="90" w:type="dxa"/>
              <w:start w:w="110" w:type="dxa"/>
              <w:bottom w:w="90" w:type="dxa"/>
              <w:end w:w="110" w:type="dxa"/>
            </w:tcMar>
            <w:vAlign w:val="center"/>
          </w:tcPr>
          <w:p>
            <w:pPr>
              <w:spacing w:after="0"/>
              <w:jc w:val="center"/>
            </w:pPr>
            <w:r>
              <w:rPr>
                <w:rFonts w:ascii="Aptos" w:hAnsi="Aptos"/>
                <w:b/>
                <w:color w:val="FFFFFF"/>
                <w:sz w:val="17"/>
              </w:rPr>
              <w:t>Required handling</w:t>
            </w:r>
          </w:p>
        </w:tc>
      </w:tr>
      <w:tr>
        <w:tc>
          <w:tcPr>
            <w:tcW w:type="dxa" w:w="1800"/>
            <w:vAlign w:val="center"/>
            <w:tcMar>
              <w:top w:w="90" w:type="dxa"/>
              <w:start w:w="110" w:type="dxa"/>
              <w:bottom w:w="90" w:type="dxa"/>
              <w:end w:w="110" w:type="dxa"/>
            </w:tcMar>
          </w:tcPr>
          <w:p>
            <w:pPr>
              <w:spacing w:after="0" w:line="240" w:lineRule="auto"/>
            </w:pPr>
            <w:r>
              <w:rPr>
                <w:rFonts w:ascii="Aptos" w:hAnsi="Aptos"/>
                <w:color w:val="000000"/>
                <w:sz w:val="16"/>
              </w:rPr>
              <w:t>ToxicChat toxicchat0124</w:t>
            </w:r>
          </w:p>
        </w:tc>
        <w:tc>
          <w:tcPr>
            <w:tcW w:type="dxa" w:w="3168"/>
            <w:vAlign w:val="center"/>
            <w:tcMar>
              <w:top w:w="90" w:type="dxa"/>
              <w:start w:w="110" w:type="dxa"/>
              <w:bottom w:w="90" w:type="dxa"/>
              <w:end w:w="110" w:type="dxa"/>
            </w:tcMar>
          </w:tcPr>
          <w:p>
            <w:pPr>
              <w:spacing w:after="0" w:line="240" w:lineRule="auto"/>
            </w:pPr>
            <w:r>
              <w:rPr>
                <w:rFonts w:ascii="Aptos" w:hAnsi="Aptos"/>
                <w:color w:val="000000"/>
                <w:sz w:val="16"/>
              </w:rPr>
              <w:t>Toxicity and jailbreak training or evaluation. Approximately 10,165 prompts; labels are highly imbalanced.</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Record version and license. Define use of human_annotation. Consider training on all data and evaluating on human-labeled rows only, subject to team approval.</w:t>
            </w:r>
          </w:p>
        </w:tc>
      </w:tr>
      <w:tr>
        <w:tc>
          <w:tcPr>
            <w:tcW w:type="dxa" w:w="1800"/>
            <w:vAlign w:val="center"/>
            <w:tcMar>
              <w:top w:w="90" w:type="dxa"/>
              <w:start w:w="110" w:type="dxa"/>
              <w:bottom w:w="90" w:type="dxa"/>
              <w:end w:w="110" w:type="dxa"/>
            </w:tcMar>
            <w:shd w:fill="F5F9FC"/>
          </w:tcPr>
          <w:p>
            <w:pPr>
              <w:spacing w:after="0" w:line="240" w:lineRule="auto"/>
            </w:pPr>
            <w:r>
              <w:rPr>
                <w:rFonts w:ascii="Aptos" w:hAnsi="Aptos"/>
                <w:color w:val="000000"/>
                <w:sz w:val="16"/>
              </w:rPr>
              <w:t>Banking77 mteb copy</w:t>
            </w:r>
          </w:p>
        </w:tc>
        <w:tc>
          <w:tcPr>
            <w:tcW w:type="dxa" w:w="3168"/>
            <w:vAlign w:val="center"/>
            <w:tcMar>
              <w:top w:w="90" w:type="dxa"/>
              <w:start w:w="110" w:type="dxa"/>
              <w:bottom w:w="90" w:type="dxa"/>
              <w:end w:w="110" w:type="dxa"/>
            </w:tcMar>
            <w:shd w:fill="F5F9FC"/>
          </w:tcPr>
          <w:p>
            <w:pPr>
              <w:spacing w:after="0" w:line="240" w:lineRule="auto"/>
            </w:pPr>
            <w:r>
              <w:rPr>
                <w:rFonts w:ascii="Aptos" w:hAnsi="Aptos"/>
                <w:color w:val="000000"/>
                <w:sz w:val="16"/>
              </w:rPr>
              <w:t>Benign retail banking queries across 77 intent labels and cache-correctness ground truth.</w:t>
            </w:r>
          </w:p>
        </w:tc>
        <w:tc>
          <w:tcPr>
            <w:tcW w:type="dxa" w:w="4464"/>
            <w:vAlign w:val="center"/>
            <w:tcMar>
              <w:top w:w="90" w:type="dxa"/>
              <w:start w:w="110" w:type="dxa"/>
              <w:bottom w:w="90" w:type="dxa"/>
              <w:end w:w="110" w:type="dxa"/>
            </w:tcMar>
            <w:shd w:fill="F5F9FC"/>
          </w:tcPr>
          <w:p>
            <w:pPr>
              <w:spacing w:after="0" w:line="240" w:lineRule="auto"/>
            </w:pPr>
            <w:r>
              <w:rPr>
                <w:rFonts w:ascii="Aptos" w:hAnsi="Aptos"/>
                <w:color w:val="000000"/>
                <w:sz w:val="16"/>
              </w:rPr>
              <w:t>Use the mteb distribution identified by the team. Preserve train and test separation and intent labels.</w:t>
            </w:r>
          </w:p>
        </w:tc>
      </w:tr>
      <w:tr>
        <w:tc>
          <w:tcPr>
            <w:tcW w:type="dxa" w:w="1800"/>
            <w:vAlign w:val="center"/>
            <w:tcMar>
              <w:top w:w="90" w:type="dxa"/>
              <w:start w:w="110" w:type="dxa"/>
              <w:bottom w:w="90" w:type="dxa"/>
              <w:end w:w="110" w:type="dxa"/>
            </w:tcMar>
          </w:tcPr>
          <w:p>
            <w:pPr>
              <w:spacing w:after="0" w:line="240" w:lineRule="auto"/>
            </w:pPr>
            <w:r>
              <w:rPr>
                <w:rFonts w:ascii="Aptos" w:hAnsi="Aptos"/>
                <w:color w:val="000000"/>
                <w:sz w:val="16"/>
              </w:rPr>
              <w:t>FinQA or ConvFinQA</w:t>
            </w:r>
          </w:p>
        </w:tc>
        <w:tc>
          <w:tcPr>
            <w:tcW w:type="dxa" w:w="3168"/>
            <w:vAlign w:val="center"/>
            <w:tcMar>
              <w:top w:w="90" w:type="dxa"/>
              <w:start w:w="110" w:type="dxa"/>
              <w:bottom w:w="90" w:type="dxa"/>
              <w:end w:w="110" w:type="dxa"/>
            </w:tcMar>
          </w:tcPr>
          <w:p>
            <w:pPr>
              <w:spacing w:after="0" w:line="240" w:lineRule="auto"/>
            </w:pPr>
            <w:r>
              <w:rPr>
                <w:rFonts w:ascii="Aptos" w:hAnsi="Aptos"/>
                <w:color w:val="000000"/>
                <w:sz w:val="16"/>
              </w:rPr>
              <w:t>Difficult multi-step financial questions for routing evaluation.</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Select only if schedule permits. Document preprocessing and ground truth.</w:t>
            </w:r>
          </w:p>
        </w:tc>
      </w:tr>
      <w:tr>
        <w:tc>
          <w:tcPr>
            <w:tcW w:type="dxa" w:w="1800"/>
            <w:vAlign w:val="center"/>
            <w:tcMar>
              <w:top w:w="90" w:type="dxa"/>
              <w:start w:w="110" w:type="dxa"/>
              <w:bottom w:w="90" w:type="dxa"/>
              <w:end w:w="110" w:type="dxa"/>
            </w:tcMar>
            <w:shd w:fill="F5F9FC"/>
          </w:tcPr>
          <w:p>
            <w:pPr>
              <w:spacing w:after="0" w:line="240" w:lineRule="auto"/>
            </w:pPr>
            <w:r>
              <w:rPr>
                <w:rFonts w:ascii="Aptos" w:hAnsi="Aptos"/>
                <w:color w:val="000000"/>
                <w:sz w:val="16"/>
              </w:rPr>
              <w:t>Team banking attack set</w:t>
            </w:r>
          </w:p>
        </w:tc>
        <w:tc>
          <w:tcPr>
            <w:tcW w:type="dxa" w:w="3168"/>
            <w:vAlign w:val="center"/>
            <w:tcMar>
              <w:top w:w="90" w:type="dxa"/>
              <w:start w:w="110" w:type="dxa"/>
              <w:bottom w:w="90" w:type="dxa"/>
              <w:end w:w="110" w:type="dxa"/>
            </w:tcMar>
            <w:shd w:fill="F5F9FC"/>
          </w:tcPr>
          <w:p>
            <w:pPr>
              <w:spacing w:after="0" w:line="240" w:lineRule="auto"/>
            </w:pPr>
            <w:r>
              <w:rPr>
                <w:rFonts w:ascii="Aptos" w:hAnsi="Aptos"/>
                <w:color w:val="000000"/>
                <w:sz w:val="16"/>
              </w:rPr>
              <w:t>Approximately 150 banking-flavored harmful prompts for in-domain challenge testing.</w:t>
            </w:r>
          </w:p>
        </w:tc>
        <w:tc>
          <w:tcPr>
            <w:tcW w:type="dxa" w:w="4464"/>
            <w:vAlign w:val="center"/>
            <w:tcMar>
              <w:top w:w="90" w:type="dxa"/>
              <w:start w:w="110" w:type="dxa"/>
              <w:bottom w:w="90" w:type="dxa"/>
              <w:end w:w="110" w:type="dxa"/>
            </w:tcMar>
            <w:shd w:fill="F5F9FC"/>
          </w:tcPr>
          <w:p>
            <w:pPr>
              <w:spacing w:after="0" w:line="240" w:lineRule="auto"/>
            </w:pPr>
            <w:r>
              <w:rPr>
                <w:rFonts w:ascii="Aptos" w:hAnsi="Aptos"/>
                <w:color w:val="000000"/>
                <w:sz w:val="16"/>
              </w:rPr>
              <w:t>Create under an agreed taxonomy, review for duplicates and leakage, and keep the final evaluation portion separate from training.</w:t>
            </w:r>
          </w:p>
        </w:tc>
      </w:tr>
    </w:tbl>
    <w:p>
      <w:pPr>
        <w:spacing w:after="20"/>
        <w:widowControl/>
      </w:pPr>
    </w:p>
    <w:p>
      <w:pPr>
        <w:pStyle w:val="Heading2"/>
      </w:pPr>
      <w:r>
        <w:t>Data quality and governance rules</w:t>
      </w:r>
    </w:p>
    <w:p>
      <w:pPr>
        <w:pStyle w:val="ListBullet"/>
        <w:spacing w:after="60"/>
      </w:pPr>
      <w:r>
        <w:rPr>
          <w:rFonts w:ascii="Aptos" w:hAnsi="Aptos"/>
          <w:color w:val="000000"/>
          <w:sz w:val="20"/>
        </w:rPr>
        <w:t>Document source, version, license, sample count, label distribution, and preprocessing for every dataset.</w:t>
      </w:r>
    </w:p>
    <w:p>
      <w:pPr>
        <w:pStyle w:val="ListBullet"/>
        <w:spacing w:after="60"/>
      </w:pPr>
      <w:r>
        <w:rPr>
          <w:rFonts w:ascii="Aptos" w:hAnsi="Aptos"/>
          <w:color w:val="000000"/>
          <w:sz w:val="20"/>
        </w:rPr>
        <w:t>Prevent training and evaluation leakage, including near-duplicate prompts.</w:t>
      </w:r>
    </w:p>
    <w:p>
      <w:pPr>
        <w:pStyle w:val="ListBullet"/>
        <w:spacing w:after="60"/>
      </w:pPr>
      <w:r>
        <w:rPr>
          <w:rFonts w:ascii="Aptos" w:hAnsi="Aptos"/>
          <w:color w:val="000000"/>
          <w:sz w:val="20"/>
        </w:rPr>
        <w:t>Report performance by class where sample sizes support it; do not rely on accuracy alone for imbalanced labels.</w:t>
      </w:r>
    </w:p>
    <w:p>
      <w:pPr>
        <w:pStyle w:val="ListBullet"/>
        <w:spacing w:after="60"/>
      </w:pPr>
      <w:r>
        <w:rPr>
          <w:rFonts w:ascii="Aptos" w:hAnsi="Aptos"/>
          <w:color w:val="000000"/>
          <w:sz w:val="20"/>
        </w:rPr>
        <w:t>Do not use real customer records or secrets in development, demonstration, screenshots, or logs.</w:t>
      </w:r>
    </w:p>
    <w:p>
      <w:pPr>
        <w:pStyle w:val="ListBullet"/>
        <w:spacing w:after="60"/>
      </w:pPr>
      <w:r>
        <w:rPr>
          <w:rFonts w:ascii="Aptos" w:hAnsi="Aptos"/>
          <w:color w:val="000000"/>
          <w:sz w:val="20"/>
        </w:rPr>
        <w:t>Retain enough sample provenance to reproduce evaluation while complying with dataset licenses.</w:t>
      </w:r>
    </w:p>
    <w:p>
      <w:pPr>
        <w:pStyle w:val="ListBullet"/>
        <w:spacing w:after="60"/>
      </w:pPr>
      <w:r>
        <w:rPr>
          <w:rFonts w:ascii="Aptos" w:hAnsi="Aptos"/>
          <w:color w:val="000000"/>
          <w:sz w:val="20"/>
        </w:rPr>
        <w:t>State limitations created by synthetic attacks, domain mismatch, annotation quality, and class imbalance.</w:t>
      </w:r>
    </w:p>
    <w:p>
      <w:pPr>
        <w:pStyle w:val="Heading2"/>
      </w:pPr>
      <w:r>
        <w:t>Cache governance categories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56"/>
            <w:shd w:fill="18324A"/>
            <w:tcMar>
              <w:top w:w="90" w:type="dxa"/>
              <w:start w:w="110" w:type="dxa"/>
              <w:bottom w:w="90" w:type="dxa"/>
              <w:end w:w="110" w:type="dxa"/>
            </w:tcMar>
            <w:vAlign w:val="center"/>
          </w:tcPr>
          <w:p>
            <w:pPr>
              <w:spacing w:after="0"/>
              <w:jc w:val="center"/>
            </w:pPr>
            <w:r>
              <w:rPr>
                <w:rFonts w:ascii="Aptos" w:hAnsi="Aptos"/>
                <w:b/>
                <w:color w:val="FFFFFF"/>
                <w:sz w:val="18"/>
              </w:rPr>
              <w:t>Category</w:t>
            </w:r>
          </w:p>
        </w:tc>
        <w:tc>
          <w:tcPr>
            <w:tcW w:type="dxa" w:w="3096"/>
            <w:shd w:fill="18324A"/>
            <w:tcMar>
              <w:top w:w="90" w:type="dxa"/>
              <w:start w:w="110" w:type="dxa"/>
              <w:bottom w:w="90" w:type="dxa"/>
              <w:end w:w="110" w:type="dxa"/>
            </w:tcMar>
            <w:vAlign w:val="center"/>
          </w:tcPr>
          <w:p>
            <w:pPr>
              <w:spacing w:after="0"/>
              <w:jc w:val="center"/>
            </w:pPr>
            <w:r>
              <w:rPr>
                <w:rFonts w:ascii="Aptos" w:hAnsi="Aptos"/>
                <w:b/>
                <w:color w:val="FFFFFF"/>
                <w:sz w:val="18"/>
              </w:rPr>
              <w:t>Example</w:t>
            </w:r>
          </w:p>
        </w:tc>
        <w:tc>
          <w:tcPr>
            <w:tcW w:type="dxa" w:w="4680"/>
            <w:shd w:fill="18324A"/>
            <w:tcMar>
              <w:top w:w="90" w:type="dxa"/>
              <w:start w:w="110" w:type="dxa"/>
              <w:bottom w:w="90" w:type="dxa"/>
              <w:end w:w="110" w:type="dxa"/>
            </w:tcMar>
            <w:vAlign w:val="center"/>
          </w:tcPr>
          <w:p>
            <w:pPr>
              <w:spacing w:after="0"/>
              <w:jc w:val="center"/>
            </w:pPr>
            <w:r>
              <w:rPr>
                <w:rFonts w:ascii="Aptos" w:hAnsi="Aptos"/>
                <w:b/>
                <w:color w:val="FFFFFF"/>
                <w:sz w:val="18"/>
              </w:rPr>
              <w:t>Expected treatment</w:t>
            </w:r>
          </w:p>
        </w:tc>
      </w:tr>
      <w:tr>
        <w:tc>
          <w:tcPr>
            <w:tcW w:type="dxa" w:w="1656"/>
            <w:vAlign w:val="center"/>
            <w:tcMar>
              <w:top w:w="90" w:type="dxa"/>
              <w:start w:w="110" w:type="dxa"/>
              <w:bottom w:w="90" w:type="dxa"/>
              <w:end w:w="110" w:type="dxa"/>
            </w:tcMar>
          </w:tcPr>
          <w:p>
            <w:pPr>
              <w:spacing w:after="0" w:line="240" w:lineRule="auto"/>
              <w:jc w:val="center"/>
            </w:pPr>
            <w:r>
              <w:rPr>
                <w:rFonts w:ascii="Aptos" w:hAnsi="Aptos"/>
                <w:color w:val="000000"/>
                <w:sz w:val="17"/>
              </w:rPr>
              <w:t>Cacheable</w:t>
            </w:r>
          </w:p>
        </w:tc>
        <w:tc>
          <w:tcPr>
            <w:tcW w:type="dxa" w:w="3096"/>
            <w:vAlign w:val="center"/>
            <w:tcMar>
              <w:top w:w="90" w:type="dxa"/>
              <w:start w:w="110" w:type="dxa"/>
              <w:bottom w:w="90" w:type="dxa"/>
              <w:end w:w="110" w:type="dxa"/>
            </w:tcMar>
          </w:tcPr>
          <w:p>
            <w:pPr>
              <w:spacing w:after="0" w:line="240" w:lineRule="auto"/>
            </w:pPr>
            <w:r>
              <w:rPr>
                <w:rFonts w:ascii="Aptos" w:hAnsi="Aptos"/>
                <w:color w:val="000000"/>
                <w:sz w:val="17"/>
              </w:rPr>
              <w:t>How do I change my PIN</w:t>
            </w:r>
          </w:p>
        </w:tc>
        <w:tc>
          <w:tcPr>
            <w:tcW w:type="dxa" w:w="4680"/>
            <w:vAlign w:val="center"/>
            <w:tcMar>
              <w:top w:w="90" w:type="dxa"/>
              <w:start w:w="110" w:type="dxa"/>
              <w:bottom w:w="90" w:type="dxa"/>
              <w:end w:w="110" w:type="dxa"/>
            </w:tcMar>
          </w:tcPr>
          <w:p>
            <w:pPr>
              <w:spacing w:after="0" w:line="240" w:lineRule="auto"/>
            </w:pPr>
            <w:r>
              <w:rPr>
                <w:rFonts w:ascii="Aptos" w:hAnsi="Aptos"/>
                <w:color w:val="000000"/>
                <w:sz w:val="17"/>
              </w:rPr>
              <w:t>Longer time-to-live when the answer is stable and policy-approved.</w:t>
            </w:r>
          </w:p>
        </w:tc>
      </w:tr>
      <w:tr>
        <w:tc>
          <w:tcPr>
            <w:tcW w:type="dxa" w:w="1656"/>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Short lived</w:t>
            </w:r>
          </w:p>
        </w:tc>
        <w:tc>
          <w:tcPr>
            <w:tcW w:type="dxa" w:w="3096"/>
            <w:vAlign w:val="center"/>
            <w:tcMar>
              <w:top w:w="90" w:type="dxa"/>
              <w:start w:w="110" w:type="dxa"/>
              <w:bottom w:w="90" w:type="dxa"/>
              <w:end w:w="110" w:type="dxa"/>
            </w:tcMar>
            <w:shd w:fill="F5F9FC"/>
          </w:tcPr>
          <w:p>
            <w:pPr>
              <w:spacing w:after="0" w:line="240" w:lineRule="auto"/>
            </w:pPr>
            <w:r>
              <w:rPr>
                <w:rFonts w:ascii="Aptos" w:hAnsi="Aptos"/>
                <w:color w:val="000000"/>
                <w:sz w:val="17"/>
              </w:rPr>
              <w:t>What is my exchange rate</w:t>
            </w:r>
          </w:p>
        </w:tc>
        <w:tc>
          <w:tcPr>
            <w:tcW w:type="dxa" w:w="4680"/>
            <w:vAlign w:val="center"/>
            <w:tcMar>
              <w:top w:w="90" w:type="dxa"/>
              <w:start w:w="110" w:type="dxa"/>
              <w:bottom w:w="90" w:type="dxa"/>
              <w:end w:w="110" w:type="dxa"/>
            </w:tcMar>
            <w:shd w:fill="F5F9FC"/>
          </w:tcPr>
          <w:p>
            <w:pPr>
              <w:spacing w:after="0" w:line="240" w:lineRule="auto"/>
            </w:pPr>
            <w:r>
              <w:rPr>
                <w:rFonts w:ascii="Aptos" w:hAnsi="Aptos"/>
                <w:color w:val="000000"/>
                <w:sz w:val="17"/>
              </w:rPr>
              <w:t>Short time-to-live because the answer can become stale quickly.</w:t>
            </w:r>
          </w:p>
        </w:tc>
      </w:tr>
      <w:tr>
        <w:tc>
          <w:tcPr>
            <w:tcW w:type="dxa" w:w="1656"/>
            <w:vAlign w:val="center"/>
            <w:tcMar>
              <w:top w:w="90" w:type="dxa"/>
              <w:start w:w="110" w:type="dxa"/>
              <w:bottom w:w="90" w:type="dxa"/>
              <w:end w:w="110" w:type="dxa"/>
            </w:tcMar>
          </w:tcPr>
          <w:p>
            <w:pPr>
              <w:spacing w:after="0" w:line="240" w:lineRule="auto"/>
              <w:jc w:val="center"/>
            </w:pPr>
            <w:r>
              <w:rPr>
                <w:rFonts w:ascii="Aptos" w:hAnsi="Aptos"/>
                <w:color w:val="000000"/>
                <w:sz w:val="17"/>
              </w:rPr>
              <w:t>Never cache</w:t>
            </w:r>
          </w:p>
        </w:tc>
        <w:tc>
          <w:tcPr>
            <w:tcW w:type="dxa" w:w="3096"/>
            <w:vAlign w:val="center"/>
            <w:tcMar>
              <w:top w:w="90" w:type="dxa"/>
              <w:start w:w="110" w:type="dxa"/>
              <w:bottom w:w="90" w:type="dxa"/>
              <w:end w:w="110" w:type="dxa"/>
            </w:tcMar>
          </w:tcPr>
          <w:p>
            <w:pPr>
              <w:spacing w:after="0" w:line="240" w:lineRule="auto"/>
            </w:pPr>
            <w:r>
              <w:rPr>
                <w:rFonts w:ascii="Aptos" w:hAnsi="Aptos"/>
                <w:color w:val="000000"/>
                <w:sz w:val="17"/>
              </w:rPr>
              <w:t>Account-specific, sensitive, or advice-seeking request</w:t>
            </w:r>
          </w:p>
        </w:tc>
        <w:tc>
          <w:tcPr>
            <w:tcW w:type="dxa" w:w="4680"/>
            <w:vAlign w:val="center"/>
            <w:tcMar>
              <w:top w:w="90" w:type="dxa"/>
              <w:start w:w="110" w:type="dxa"/>
              <w:bottom w:w="90" w:type="dxa"/>
              <w:end w:w="110" w:type="dxa"/>
            </w:tcMar>
          </w:tcPr>
          <w:p>
            <w:pPr>
              <w:spacing w:after="0" w:line="240" w:lineRule="auto"/>
            </w:pPr>
            <w:r>
              <w:rPr>
                <w:rFonts w:ascii="Aptos" w:hAnsi="Aptos"/>
                <w:color w:val="000000"/>
                <w:sz w:val="17"/>
              </w:rPr>
              <w:t>Bypass reuse and record the governing reason.</w:t>
            </w:r>
          </w:p>
        </w:tc>
      </w:tr>
    </w:tbl>
    <w:p>
      <w:pPr>
        <w:spacing w:after="20"/>
        <w:widowControl/>
      </w:pPr>
    </w:p>
    <w:p>
      <w:pPr>
        <w:widowControl/>
      </w:pPr>
      <w:r>
        <w:br w:type="page"/>
      </w:r>
    </w:p>
    <w:p>
      <w:pPr>
        <w:pStyle w:val="Heading1"/>
      </w:pPr>
      <w:r>
        <w:t>Decision record requirements</w:t>
      </w:r>
    </w:p>
    <w:p>
      <w:pPr>
        <w:keepLines w:val="0"/>
        <w:widowControl/>
      </w:pPr>
      <w:r>
        <w:rPr>
          <w:rFonts w:ascii="Aptos" w:hAnsi="Aptos"/>
          <w:i w:val="0"/>
          <w:color w:val="000000"/>
        </w:rPr>
        <w:t>The decision record is the contract between pipeline components and the primary audit artifact. The final schema should be agreed before component development begins.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728"/>
            <w:shd w:fill="18324A"/>
            <w:tcMar>
              <w:top w:w="90" w:type="dxa"/>
              <w:start w:w="110" w:type="dxa"/>
              <w:bottom w:w="90" w:type="dxa"/>
              <w:end w:w="110" w:type="dxa"/>
            </w:tcMar>
            <w:vAlign w:val="center"/>
          </w:tcPr>
          <w:p>
            <w:pPr>
              <w:spacing w:after="0"/>
              <w:jc w:val="center"/>
            </w:pPr>
            <w:r>
              <w:rPr>
                <w:rFonts w:ascii="Aptos" w:hAnsi="Aptos"/>
                <w:b/>
                <w:color w:val="FFFFFF"/>
                <w:sz w:val="18"/>
              </w:rPr>
              <w:t>Field group</w:t>
            </w:r>
          </w:p>
        </w:tc>
        <w:tc>
          <w:tcPr>
            <w:tcW w:type="dxa" w:w="7704"/>
            <w:shd w:fill="18324A"/>
            <w:tcMar>
              <w:top w:w="90" w:type="dxa"/>
              <w:start w:w="110" w:type="dxa"/>
              <w:bottom w:w="90" w:type="dxa"/>
              <w:end w:w="110" w:type="dxa"/>
            </w:tcMar>
            <w:vAlign w:val="center"/>
          </w:tcPr>
          <w:p>
            <w:pPr>
              <w:spacing w:after="0"/>
              <w:jc w:val="center"/>
            </w:pPr>
            <w:r>
              <w:rPr>
                <w:rFonts w:ascii="Aptos" w:hAnsi="Aptos"/>
                <w:b/>
                <w:color w:val="FFFFFF"/>
                <w:sz w:val="18"/>
              </w:rPr>
              <w:t>Minimum content</w:t>
            </w:r>
          </w:p>
        </w:tc>
      </w:tr>
      <w:tr>
        <w:tc>
          <w:tcPr>
            <w:tcW w:type="dxa" w:w="1728"/>
            <w:vAlign w:val="center"/>
            <w:tcMar>
              <w:top w:w="90" w:type="dxa"/>
              <w:start w:w="110" w:type="dxa"/>
              <w:bottom w:w="90" w:type="dxa"/>
              <w:end w:w="110" w:type="dxa"/>
            </w:tcMar>
          </w:tcPr>
          <w:p>
            <w:pPr>
              <w:spacing w:after="0" w:line="240" w:lineRule="auto"/>
              <w:jc w:val="center"/>
            </w:pPr>
            <w:r>
              <w:rPr>
                <w:rFonts w:ascii="Aptos" w:hAnsi="Aptos"/>
                <w:color w:val="000000"/>
                <w:sz w:val="17"/>
              </w:rPr>
              <w:t>Request</w:t>
            </w:r>
          </w:p>
        </w:tc>
        <w:tc>
          <w:tcPr>
            <w:tcW w:type="dxa" w:w="7704"/>
            <w:vAlign w:val="center"/>
            <w:tcMar>
              <w:top w:w="90" w:type="dxa"/>
              <w:start w:w="110" w:type="dxa"/>
              <w:bottom w:w="90" w:type="dxa"/>
              <w:end w:w="110" w:type="dxa"/>
            </w:tcMar>
          </w:tcPr>
          <w:p>
            <w:pPr>
              <w:spacing w:after="0" w:line="240" w:lineRule="auto"/>
            </w:pPr>
            <w:r>
              <w:rPr>
                <w:rFonts w:ascii="Aptos" w:hAnsi="Aptos"/>
                <w:color w:val="000000"/>
                <w:sz w:val="17"/>
              </w:rPr>
              <w:t>Request identifier, timestamp, source, original token count, detected language.</w:t>
            </w:r>
          </w:p>
        </w:tc>
      </w:tr>
      <w:tr>
        <w:tc>
          <w:tcPr>
            <w:tcW w:type="dxa" w:w="1728"/>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Privacy</w:t>
            </w:r>
          </w:p>
        </w:tc>
        <w:tc>
          <w:tcPr>
            <w:tcW w:type="dxa" w:w="7704"/>
            <w:vAlign w:val="center"/>
            <w:tcMar>
              <w:top w:w="90" w:type="dxa"/>
              <w:start w:w="110" w:type="dxa"/>
              <w:bottom w:w="90" w:type="dxa"/>
              <w:end w:w="110" w:type="dxa"/>
            </w:tcMar>
            <w:shd w:fill="F5F9FC"/>
          </w:tcPr>
          <w:p>
            <w:pPr>
              <w:spacing w:after="0" w:line="240" w:lineRule="auto"/>
            </w:pPr>
            <w:r>
              <w:rPr>
                <w:rFonts w:ascii="Aptos" w:hAnsi="Aptos"/>
                <w:color w:val="000000"/>
                <w:sz w:val="17"/>
              </w:rPr>
              <w:t>Detected data types, masking performed, redacted prompt or safe reference.</w:t>
            </w:r>
          </w:p>
        </w:tc>
      </w:tr>
      <w:tr>
        <w:tc>
          <w:tcPr>
            <w:tcW w:type="dxa" w:w="1728"/>
            <w:vAlign w:val="center"/>
            <w:tcMar>
              <w:top w:w="90" w:type="dxa"/>
              <w:start w:w="110" w:type="dxa"/>
              <w:bottom w:w="90" w:type="dxa"/>
              <w:end w:w="110" w:type="dxa"/>
            </w:tcMar>
          </w:tcPr>
          <w:p>
            <w:pPr>
              <w:spacing w:after="0" w:line="240" w:lineRule="auto"/>
              <w:jc w:val="center"/>
            </w:pPr>
            <w:r>
              <w:rPr>
                <w:rFonts w:ascii="Aptos" w:hAnsi="Aptos"/>
                <w:color w:val="000000"/>
                <w:sz w:val="17"/>
              </w:rPr>
              <w:t>Risk</w:t>
            </w:r>
          </w:p>
        </w:tc>
        <w:tc>
          <w:tcPr>
            <w:tcW w:type="dxa" w:w="7704"/>
            <w:vAlign w:val="center"/>
            <w:tcMar>
              <w:top w:w="90" w:type="dxa"/>
              <w:start w:w="110" w:type="dxa"/>
              <w:bottom w:w="90" w:type="dxa"/>
              <w:end w:w="110" w:type="dxa"/>
            </w:tcMar>
          </w:tcPr>
          <w:p>
            <w:pPr>
              <w:spacing w:after="0" w:line="240" w:lineRule="auto"/>
            </w:pPr>
            <w:r>
              <w:rPr>
                <w:rFonts w:ascii="Aptos" w:hAnsi="Aptos"/>
                <w:color w:val="000000"/>
                <w:sz w:val="17"/>
              </w:rPr>
              <w:t>Labels, scores, threshold, classifier name and version.</w:t>
            </w:r>
          </w:p>
        </w:tc>
      </w:tr>
      <w:tr>
        <w:tc>
          <w:tcPr>
            <w:tcW w:type="dxa" w:w="1728"/>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Policy</w:t>
            </w:r>
          </w:p>
        </w:tc>
        <w:tc>
          <w:tcPr>
            <w:tcW w:type="dxa" w:w="7704"/>
            <w:vAlign w:val="center"/>
            <w:tcMar>
              <w:top w:w="90" w:type="dxa"/>
              <w:start w:w="110" w:type="dxa"/>
              <w:bottom w:w="90" w:type="dxa"/>
              <w:end w:w="110" w:type="dxa"/>
            </w:tcMar>
            <w:shd w:fill="F5F9FC"/>
          </w:tcPr>
          <w:p>
            <w:pPr>
              <w:spacing w:after="0" w:line="240" w:lineRule="auto"/>
            </w:pPr>
            <w:r>
              <w:rPr>
                <w:rFonts w:ascii="Aptos" w:hAnsi="Aptos"/>
                <w:color w:val="000000"/>
                <w:sz w:val="17"/>
              </w:rPr>
              <w:t>Outcome, matched rule, reason, policy profile and version.</w:t>
            </w:r>
          </w:p>
        </w:tc>
      </w:tr>
      <w:tr>
        <w:tc>
          <w:tcPr>
            <w:tcW w:type="dxa" w:w="1728"/>
            <w:vAlign w:val="center"/>
            <w:tcMar>
              <w:top w:w="90" w:type="dxa"/>
              <w:start w:w="110" w:type="dxa"/>
              <w:bottom w:w="90" w:type="dxa"/>
              <w:end w:w="110" w:type="dxa"/>
            </w:tcMar>
          </w:tcPr>
          <w:p>
            <w:pPr>
              <w:spacing w:after="0" w:line="240" w:lineRule="auto"/>
              <w:jc w:val="center"/>
            </w:pPr>
            <w:r>
              <w:rPr>
                <w:rFonts w:ascii="Aptos" w:hAnsi="Aptos"/>
                <w:color w:val="000000"/>
                <w:sz w:val="17"/>
              </w:rPr>
              <w:t>Cache</w:t>
            </w:r>
          </w:p>
        </w:tc>
        <w:tc>
          <w:tcPr>
            <w:tcW w:type="dxa" w:w="7704"/>
            <w:vAlign w:val="center"/>
            <w:tcMar>
              <w:top w:w="90" w:type="dxa"/>
              <w:start w:w="110" w:type="dxa"/>
              <w:bottom w:w="90" w:type="dxa"/>
              <w:end w:w="110" w:type="dxa"/>
            </w:tcMar>
          </w:tcPr>
          <w:p>
            <w:pPr>
              <w:spacing w:after="0" w:line="240" w:lineRule="auto"/>
            </w:pPr>
            <w:r>
              <w:rPr>
                <w:rFonts w:ascii="Aptos" w:hAnsi="Aptos"/>
                <w:color w:val="000000"/>
                <w:sz w:val="17"/>
              </w:rPr>
              <w:t>Eligibility, key or safe reference, similarity score, threshold, intent, age, time-to-live, hit or miss, reused response provenance.</w:t>
            </w:r>
          </w:p>
        </w:tc>
      </w:tr>
      <w:tr>
        <w:tc>
          <w:tcPr>
            <w:tcW w:type="dxa" w:w="1728"/>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Routing</w:t>
            </w:r>
          </w:p>
        </w:tc>
        <w:tc>
          <w:tcPr>
            <w:tcW w:type="dxa" w:w="7704"/>
            <w:vAlign w:val="center"/>
            <w:tcMar>
              <w:top w:w="90" w:type="dxa"/>
              <w:start w:w="110" w:type="dxa"/>
              <w:bottom w:w="90" w:type="dxa"/>
              <w:end w:w="110" w:type="dxa"/>
            </w:tcMar>
            <w:shd w:fill="F5F9FC"/>
          </w:tcPr>
          <w:p>
            <w:pPr>
              <w:spacing w:after="0" w:line="240" w:lineRule="auto"/>
            </w:pPr>
            <w:r>
              <w:rPr>
                <w:rFonts w:ascii="Aptos" w:hAnsi="Aptos"/>
                <w:color w:val="000000"/>
                <w:sz w:val="17"/>
              </w:rPr>
              <w:t>Recommended tier, complexity features, rationale, estimated tokens and cost.</w:t>
            </w:r>
          </w:p>
        </w:tc>
      </w:tr>
      <w:tr>
        <w:tc>
          <w:tcPr>
            <w:tcW w:type="dxa" w:w="1728"/>
            <w:vAlign w:val="center"/>
            <w:tcMar>
              <w:top w:w="90" w:type="dxa"/>
              <w:start w:w="110" w:type="dxa"/>
              <w:bottom w:w="90" w:type="dxa"/>
              <w:end w:w="110" w:type="dxa"/>
            </w:tcMar>
          </w:tcPr>
          <w:p>
            <w:pPr>
              <w:spacing w:after="0" w:line="240" w:lineRule="auto"/>
              <w:jc w:val="center"/>
            </w:pPr>
            <w:r>
              <w:rPr>
                <w:rFonts w:ascii="Aptos" w:hAnsi="Aptos"/>
                <w:color w:val="000000"/>
                <w:sz w:val="17"/>
              </w:rPr>
              <w:t>Response</w:t>
            </w:r>
          </w:p>
        </w:tc>
        <w:tc>
          <w:tcPr>
            <w:tcW w:type="dxa" w:w="7704"/>
            <w:vAlign w:val="center"/>
            <w:tcMar>
              <w:top w:w="90" w:type="dxa"/>
              <w:start w:w="110" w:type="dxa"/>
              <w:bottom w:w="90" w:type="dxa"/>
              <w:end w:w="110" w:type="dxa"/>
            </w:tcMar>
          </w:tcPr>
          <w:p>
            <w:pPr>
              <w:spacing w:after="0" w:line="240" w:lineRule="auto"/>
            </w:pPr>
            <w:r>
              <w:rPr>
                <w:rFonts w:ascii="Aptos" w:hAnsi="Aptos"/>
                <w:color w:val="000000"/>
                <w:sz w:val="17"/>
              </w:rPr>
              <w:t>Outcome type, response or reference, completion status, error category.</w:t>
            </w:r>
          </w:p>
        </w:tc>
      </w:tr>
      <w:tr>
        <w:tc>
          <w:tcPr>
            <w:tcW w:type="dxa" w:w="1728"/>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Run context</w:t>
            </w:r>
          </w:p>
        </w:tc>
        <w:tc>
          <w:tcPr>
            <w:tcW w:type="dxa" w:w="7704"/>
            <w:vAlign w:val="center"/>
            <w:tcMar>
              <w:top w:w="90" w:type="dxa"/>
              <w:start w:w="110" w:type="dxa"/>
              <w:bottom w:w="90" w:type="dxa"/>
              <w:end w:w="110" w:type="dxa"/>
            </w:tcMar>
            <w:shd w:fill="F5F9FC"/>
          </w:tcPr>
          <w:p>
            <w:pPr>
              <w:spacing w:after="0" w:line="240" w:lineRule="auto"/>
            </w:pPr>
            <w:r>
              <w:rPr>
                <w:rFonts w:ascii="Aptos" w:hAnsi="Aptos"/>
                <w:color w:val="000000"/>
                <w:sz w:val="17"/>
              </w:rPr>
              <w:t>Application version, configuration version, dataset or workload identifier, execution duration by stage.</w:t>
            </w:r>
          </w:p>
        </w:tc>
      </w:tr>
    </w:tbl>
    <w:p>
      <w:pPr>
        <w:spacing w:after="20"/>
        <w:widowControl/>
      </w:pPr>
    </w:p>
    <w:p>
      <w:pPr>
        <w:pStyle w:val="Heading2"/>
      </w:pPr>
      <w:r>
        <w:t>Illustrative decision record</w:t>
      </w:r>
    </w:p>
    <w:p>
      <w:pPr>
        <w:ind w:left="360" w:right="360"/>
        <w:shd w:fill="EEF1F3"/>
        <w:widowControl/>
      </w:pPr>
      <w:r>
        <w:rPr>
          <w:rFonts w:ascii="Courier New" w:hAnsi="Courier New"/>
          <w:color w:val="000000"/>
          <w:sz w:val="16"/>
        </w:rPr>
        <w:t>{</w:t>
        <w:br/>
        <w:t xml:space="preserve">  "request_id": "example-001",</w:t>
        <w:br/>
        <w:t xml:space="preserve">  "privacy": {"masked": true, "types": ["card_number"]},</w:t>
        <w:br/>
        <w:t xml:space="preserve">  "risk": {"label": "benign", "score": 0.03, "model_version": "candidate"},</w:t>
        <w:br/>
        <w:t xml:space="preserve">  "policy": {"outcome": "ALLOW", "rule": "banking_general", "version": "candidate"},</w:t>
        <w:br/>
        <w:t xml:space="preserve">  "cache": {"eligible": true, "hit": false, "similarity": 0.71},</w:t>
        <w:br/>
        <w:t xml:space="preserve">  "routing": {"tier": "low_cost", "estimated_cost": null},</w:t>
        <w:br/>
        <w:t xml:space="preserve">  "response": {"type": "simulated", "status": "complete"}</w:t>
        <w:br/>
        <w:t>}</w:t>
      </w:r>
    </w:p>
    <w:p>
      <w:pPr>
        <w:keepLines w:val="0"/>
        <w:widowControl/>
      </w:pPr>
      <w:r>
        <w:rPr>
          <w:rFonts w:ascii="Aptos" w:hAnsi="Aptos"/>
          <w:i w:val="0"/>
          <w:color w:val="000000"/>
        </w:rPr>
        <w:t>The example shows structure only. Field names, thresholds, model identifiers, prices, and persistence rules require team agreement and advisor review.</w:t>
      </w:r>
    </w:p>
    <w:p>
      <w:pPr>
        <w:widowControl/>
      </w:pPr>
      <w:r>
        <w:br w:type="page"/>
      </w:r>
    </w:p>
    <w:p>
      <w:pPr>
        <w:pStyle w:val="Heading1"/>
      </w:pPr>
      <w:r>
        <w:t>Measures of success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99"/>
            <w:shd w:fill="18324A"/>
            <w:tcMar>
              <w:top w:w="90" w:type="dxa"/>
              <w:start w:w="110" w:type="dxa"/>
              <w:bottom w:w="90" w:type="dxa"/>
              <w:end w:w="110" w:type="dxa"/>
            </w:tcMar>
            <w:vAlign w:val="center"/>
          </w:tcPr>
          <w:p>
            <w:pPr>
              <w:spacing w:after="0"/>
              <w:jc w:val="center"/>
            </w:pPr>
            <w:r>
              <w:rPr>
                <w:rFonts w:ascii="Aptos" w:hAnsi="Aptos"/>
                <w:b/>
                <w:color w:val="FFFFFF"/>
                <w:sz w:val="17"/>
              </w:rPr>
              <w:t>Measure</w:t>
            </w:r>
          </w:p>
        </w:tc>
        <w:tc>
          <w:tcPr>
            <w:tcW w:type="dxa" w:w="3960"/>
            <w:shd w:fill="18324A"/>
            <w:tcMar>
              <w:top w:w="90" w:type="dxa"/>
              <w:start w:w="110" w:type="dxa"/>
              <w:bottom w:w="90" w:type="dxa"/>
              <w:end w:w="110" w:type="dxa"/>
            </w:tcMar>
            <w:vAlign w:val="center"/>
          </w:tcPr>
          <w:p>
            <w:pPr>
              <w:spacing w:after="0"/>
              <w:jc w:val="center"/>
            </w:pPr>
            <w:r>
              <w:rPr>
                <w:rFonts w:ascii="Aptos" w:hAnsi="Aptos"/>
                <w:b/>
                <w:color w:val="FFFFFF"/>
                <w:sz w:val="17"/>
              </w:rPr>
              <w:t>Definition</w:t>
            </w:r>
          </w:p>
        </w:tc>
        <w:tc>
          <w:tcPr>
            <w:tcW w:type="dxa" w:w="3773"/>
            <w:shd w:fill="18324A"/>
            <w:tcMar>
              <w:top w:w="90" w:type="dxa"/>
              <w:start w:w="110" w:type="dxa"/>
              <w:bottom w:w="90" w:type="dxa"/>
              <w:end w:w="110" w:type="dxa"/>
            </w:tcMar>
            <w:vAlign w:val="center"/>
          </w:tcPr>
          <w:p>
            <w:pPr>
              <w:spacing w:after="0"/>
              <w:jc w:val="center"/>
            </w:pPr>
            <w:r>
              <w:rPr>
                <w:rFonts w:ascii="Aptos" w:hAnsi="Aptos"/>
                <w:b/>
                <w:color w:val="FFFFFF"/>
                <w:sz w:val="17"/>
              </w:rPr>
              <w:t>Target or reporting requirement</w:t>
            </w:r>
          </w:p>
        </w:tc>
      </w:tr>
      <w:tr>
        <w:tc>
          <w:tcPr>
            <w:tcW w:type="dxa" w:w="1699"/>
            <w:vAlign w:val="center"/>
            <w:tcMar>
              <w:top w:w="90" w:type="dxa"/>
              <w:start w:w="110" w:type="dxa"/>
              <w:bottom w:w="90" w:type="dxa"/>
              <w:end w:w="110" w:type="dxa"/>
            </w:tcMar>
          </w:tcPr>
          <w:p>
            <w:pPr>
              <w:spacing w:after="0" w:line="240" w:lineRule="auto"/>
              <w:jc w:val="center"/>
            </w:pPr>
            <w:r>
              <w:rPr>
                <w:rFonts w:ascii="Aptos" w:hAnsi="Aptos"/>
                <w:color w:val="000000"/>
                <w:sz w:val="16"/>
              </w:rPr>
              <w:t>Risk F1</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Harmonic mean of precision and recall for defined prompt-risk classes.</w:t>
            </w:r>
          </w:p>
        </w:tc>
        <w:tc>
          <w:tcPr>
            <w:tcW w:type="dxa" w:w="3773"/>
            <w:vAlign w:val="center"/>
            <w:tcMar>
              <w:top w:w="90" w:type="dxa"/>
              <w:start w:w="110" w:type="dxa"/>
              <w:bottom w:w="90" w:type="dxa"/>
              <w:end w:w="110" w:type="dxa"/>
            </w:tcMar>
          </w:tcPr>
          <w:p>
            <w:pPr>
              <w:spacing w:after="0" w:line="240" w:lineRule="auto"/>
            </w:pPr>
            <w:r>
              <w:rPr>
                <w:rFonts w:ascii="Aptos" w:hAnsi="Aptos"/>
                <w:color w:val="000000"/>
                <w:sz w:val="16"/>
              </w:rPr>
              <w:t>At least 80 percent F1 as the challenge target; also report class-level results and test-set composition.</w:t>
            </w:r>
          </w:p>
        </w:tc>
      </w:tr>
      <w:tr>
        <w:tc>
          <w:tcPr>
            <w:tcW w:type="dxa" w:w="1699"/>
            <w:vAlign w:val="center"/>
            <w:tcMar>
              <w:top w:w="90" w:type="dxa"/>
              <w:start w:w="110" w:type="dxa"/>
              <w:bottom w:w="90" w:type="dxa"/>
              <w:end w:w="110" w:type="dxa"/>
            </w:tcMar>
            <w:shd w:fill="F5F9FC"/>
          </w:tcPr>
          <w:p>
            <w:pPr>
              <w:spacing w:after="0" w:line="240" w:lineRule="auto"/>
            </w:pPr>
            <w:r>
              <w:rPr>
                <w:rFonts w:ascii="Aptos" w:hAnsi="Aptos"/>
                <w:color w:val="000000"/>
                <w:sz w:val="16"/>
              </w:rPr>
              <w:t>Risk precision and recall</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False-positive and false-negative tradeoff for each risk outcome.</w:t>
            </w:r>
          </w:p>
        </w:tc>
        <w:tc>
          <w:tcPr>
            <w:tcW w:type="dxa" w:w="3773"/>
            <w:vAlign w:val="center"/>
            <w:tcMar>
              <w:top w:w="90" w:type="dxa"/>
              <w:start w:w="110" w:type="dxa"/>
              <w:bottom w:w="90" w:type="dxa"/>
              <w:end w:w="110" w:type="dxa"/>
            </w:tcMar>
            <w:shd w:fill="F5F9FC"/>
          </w:tcPr>
          <w:p>
            <w:pPr>
              <w:spacing w:after="0" w:line="240" w:lineRule="auto"/>
            </w:pPr>
            <w:r>
              <w:rPr>
                <w:rFonts w:ascii="Aptos" w:hAnsi="Aptos"/>
                <w:color w:val="000000"/>
                <w:sz w:val="16"/>
              </w:rPr>
              <w:t>Report on public benchmark and in-domain attack set separately.</w:t>
            </w:r>
          </w:p>
        </w:tc>
      </w:tr>
      <w:tr>
        <w:tc>
          <w:tcPr>
            <w:tcW w:type="dxa" w:w="1699"/>
            <w:vAlign w:val="center"/>
            <w:tcMar>
              <w:top w:w="90" w:type="dxa"/>
              <w:start w:w="110" w:type="dxa"/>
              <w:bottom w:w="90" w:type="dxa"/>
              <w:end w:w="110" w:type="dxa"/>
            </w:tcMar>
          </w:tcPr>
          <w:p>
            <w:pPr>
              <w:spacing w:after="0" w:line="240" w:lineRule="auto"/>
              <w:jc w:val="center"/>
            </w:pPr>
            <w:r>
              <w:rPr>
                <w:rFonts w:ascii="Aptos" w:hAnsi="Aptos"/>
                <w:color w:val="000000"/>
                <w:sz w:val="16"/>
              </w:rPr>
              <w:t>Token reduction</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Difference between original and optimized input token counts for eligible prompts.</w:t>
            </w:r>
          </w:p>
        </w:tc>
        <w:tc>
          <w:tcPr>
            <w:tcW w:type="dxa" w:w="3773"/>
            <w:vAlign w:val="center"/>
            <w:tcMar>
              <w:top w:w="90" w:type="dxa"/>
              <w:start w:w="110" w:type="dxa"/>
              <w:bottom w:w="90" w:type="dxa"/>
              <w:end w:w="110" w:type="dxa"/>
            </w:tcMar>
          </w:tcPr>
          <w:p>
            <w:pPr>
              <w:spacing w:after="0" w:line="240" w:lineRule="auto"/>
            </w:pPr>
            <w:r>
              <w:rPr>
                <w:rFonts w:ascii="Aptos" w:hAnsi="Aptos"/>
                <w:color w:val="000000"/>
                <w:sz w:val="16"/>
              </w:rPr>
              <w:t>Target 30 to 50 percent reduction for eligible prompts; report eligibility rate and quality checks.</w:t>
            </w:r>
          </w:p>
        </w:tc>
      </w:tr>
      <w:tr>
        <w:tc>
          <w:tcPr>
            <w:tcW w:type="dxa" w:w="1699"/>
            <w:vAlign w:val="center"/>
            <w:tcMar>
              <w:top w:w="90" w:type="dxa"/>
              <w:start w:w="110" w:type="dxa"/>
              <w:bottom w:w="90" w:type="dxa"/>
              <w:end w:w="110" w:type="dxa"/>
            </w:tcMar>
            <w:shd w:fill="F5F9FC"/>
          </w:tcPr>
          <w:p>
            <w:pPr>
              <w:spacing w:after="0" w:line="240" w:lineRule="auto"/>
            </w:pPr>
            <w:r>
              <w:rPr>
                <w:rFonts w:ascii="Aptos" w:hAnsi="Aptos"/>
                <w:color w:val="000000"/>
                <w:sz w:val="16"/>
              </w:rPr>
              <w:t>Estimated cost savings</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Difference between governed workload cost and an all-highest-tier baseline under documented prices.</w:t>
            </w:r>
          </w:p>
        </w:tc>
        <w:tc>
          <w:tcPr>
            <w:tcW w:type="dxa" w:w="3773"/>
            <w:vAlign w:val="center"/>
            <w:tcMar>
              <w:top w:w="90" w:type="dxa"/>
              <w:start w:w="110" w:type="dxa"/>
              <w:bottom w:w="90" w:type="dxa"/>
              <w:end w:w="110" w:type="dxa"/>
            </w:tcMar>
            <w:shd w:fill="F5F9FC"/>
          </w:tcPr>
          <w:p>
            <w:pPr>
              <w:spacing w:after="0" w:line="240" w:lineRule="auto"/>
            </w:pPr>
            <w:r>
              <w:rPr>
                <w:rFonts w:ascii="Aptos" w:hAnsi="Aptos"/>
                <w:color w:val="000000"/>
                <w:sz w:val="16"/>
              </w:rPr>
              <w:t>Report total, percentage, assumptions, and contributions from blocking, cache reuse, optimization, and routing.</w:t>
            </w:r>
          </w:p>
        </w:tc>
      </w:tr>
      <w:tr>
        <w:tc>
          <w:tcPr>
            <w:tcW w:type="dxa" w:w="1699"/>
            <w:vAlign w:val="center"/>
            <w:tcMar>
              <w:top w:w="90" w:type="dxa"/>
              <w:start w:w="110" w:type="dxa"/>
              <w:bottom w:w="90" w:type="dxa"/>
              <w:end w:w="110" w:type="dxa"/>
            </w:tcMar>
          </w:tcPr>
          <w:p>
            <w:pPr>
              <w:spacing w:after="0" w:line="240" w:lineRule="auto"/>
              <w:jc w:val="center"/>
            </w:pPr>
            <w:r>
              <w:rPr>
                <w:rFonts w:ascii="Aptos" w:hAnsi="Aptos"/>
                <w:color w:val="000000"/>
                <w:sz w:val="16"/>
              </w:rPr>
              <w:t>Cache hit rate</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Share of eligible queries served from cache.</w:t>
            </w:r>
          </w:p>
        </w:tc>
        <w:tc>
          <w:tcPr>
            <w:tcW w:type="dxa" w:w="3773"/>
            <w:vAlign w:val="center"/>
            <w:tcMar>
              <w:top w:w="90" w:type="dxa"/>
              <w:start w:w="110" w:type="dxa"/>
              <w:bottom w:w="90" w:type="dxa"/>
              <w:end w:w="110" w:type="dxa"/>
            </w:tcMar>
          </w:tcPr>
          <w:p>
            <w:pPr>
              <w:spacing w:after="0" w:line="240" w:lineRule="auto"/>
            </w:pPr>
            <w:r>
              <w:rPr>
                <w:rFonts w:ascii="Aptos" w:hAnsi="Aptos"/>
                <w:color w:val="000000"/>
                <w:sz w:val="16"/>
              </w:rPr>
              <w:t>Report for the test workload, but do not treat it as sufficient evidence of correctness.</w:t>
            </w:r>
          </w:p>
        </w:tc>
      </w:tr>
      <w:tr>
        <w:tc>
          <w:tcPr>
            <w:tcW w:type="dxa" w:w="1699"/>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Cache precision</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Share of cache hits that match the correct Banking77 intent or approved equivalence rule.</w:t>
            </w:r>
          </w:p>
        </w:tc>
        <w:tc>
          <w:tcPr>
            <w:tcW w:type="dxa" w:w="3773"/>
            <w:vAlign w:val="center"/>
            <w:tcMar>
              <w:top w:w="90" w:type="dxa"/>
              <w:start w:w="110" w:type="dxa"/>
              <w:bottom w:w="90" w:type="dxa"/>
              <w:end w:w="110" w:type="dxa"/>
            </w:tcMar>
            <w:shd w:fill="F5F9FC"/>
          </w:tcPr>
          <w:p>
            <w:pPr>
              <w:spacing w:after="0" w:line="240" w:lineRule="auto"/>
            </w:pPr>
            <w:r>
              <w:rPr>
                <w:rFonts w:ascii="Aptos" w:hAnsi="Aptos"/>
                <w:color w:val="000000"/>
                <w:sz w:val="16"/>
              </w:rPr>
              <w:t>Report across thresholds and justify the selected operating point.</w:t>
            </w:r>
          </w:p>
        </w:tc>
      </w:tr>
      <w:tr>
        <w:tc>
          <w:tcPr>
            <w:tcW w:type="dxa" w:w="1699"/>
            <w:vAlign w:val="center"/>
            <w:tcMar>
              <w:top w:w="90" w:type="dxa"/>
              <w:start w:w="110" w:type="dxa"/>
              <w:bottom w:w="90" w:type="dxa"/>
              <w:end w:w="110" w:type="dxa"/>
            </w:tcMar>
          </w:tcPr>
          <w:p>
            <w:pPr>
              <w:spacing w:after="0" w:line="240" w:lineRule="auto"/>
              <w:jc w:val="center"/>
            </w:pPr>
            <w:r>
              <w:rPr>
                <w:rFonts w:ascii="Aptos" w:hAnsi="Aptos"/>
                <w:color w:val="000000"/>
                <w:sz w:val="16"/>
              </w:rPr>
              <w:t>Cache recall</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Share of reusable query pairs successfully served from cache.</w:t>
            </w:r>
          </w:p>
        </w:tc>
        <w:tc>
          <w:tcPr>
            <w:tcW w:type="dxa" w:w="3773"/>
            <w:vAlign w:val="center"/>
            <w:tcMar>
              <w:top w:w="90" w:type="dxa"/>
              <w:start w:w="110" w:type="dxa"/>
              <w:bottom w:w="90" w:type="dxa"/>
              <w:end w:w="110" w:type="dxa"/>
            </w:tcMar>
          </w:tcPr>
          <w:p>
            <w:pPr>
              <w:spacing w:after="0" w:line="240" w:lineRule="auto"/>
            </w:pPr>
            <w:r>
              <w:rPr>
                <w:rFonts w:ascii="Aptos" w:hAnsi="Aptos"/>
                <w:color w:val="000000"/>
                <w:sz w:val="16"/>
              </w:rPr>
              <w:t>Report across thresholds and by applicable intent.</w:t>
            </w:r>
          </w:p>
        </w:tc>
      </w:tr>
      <w:tr>
        <w:tc>
          <w:tcPr>
            <w:tcW w:type="dxa" w:w="1699"/>
            <w:vAlign w:val="center"/>
            <w:tcMar>
              <w:top w:w="90" w:type="dxa"/>
              <w:start w:w="110" w:type="dxa"/>
              <w:bottom w:w="90" w:type="dxa"/>
              <w:end w:w="110" w:type="dxa"/>
            </w:tcMar>
            <w:shd w:fill="F5F9FC"/>
          </w:tcPr>
          <w:p>
            <w:pPr>
              <w:spacing w:after="0" w:line="240" w:lineRule="auto"/>
            </w:pPr>
            <w:r>
              <w:rPr>
                <w:rFonts w:ascii="Aptos" w:hAnsi="Aptos"/>
                <w:color w:val="000000"/>
                <w:sz w:val="16"/>
              </w:rPr>
              <w:t>Routing distribution</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Share of allowed cache misses assigned to each tier.</w:t>
            </w:r>
          </w:p>
        </w:tc>
        <w:tc>
          <w:tcPr>
            <w:tcW w:type="dxa" w:w="3773"/>
            <w:vAlign w:val="center"/>
            <w:tcMar>
              <w:top w:w="90" w:type="dxa"/>
              <w:start w:w="110" w:type="dxa"/>
              <w:bottom w:w="90" w:type="dxa"/>
              <w:end w:w="110" w:type="dxa"/>
            </w:tcMar>
            <w:shd w:fill="F5F9FC"/>
          </w:tcPr>
          <w:p>
            <w:pPr>
              <w:spacing w:after="0" w:line="240" w:lineRule="auto"/>
            </w:pPr>
            <w:r>
              <w:rPr>
                <w:rFonts w:ascii="Aptos" w:hAnsi="Aptos"/>
                <w:color w:val="000000"/>
                <w:sz w:val="16"/>
              </w:rPr>
              <w:t>Report with routing rationale and test cases.</w:t>
            </w:r>
          </w:p>
        </w:tc>
      </w:tr>
      <w:tr>
        <w:tc>
          <w:tcPr>
            <w:tcW w:type="dxa" w:w="1699"/>
            <w:vAlign w:val="center"/>
            <w:tcMar>
              <w:top w:w="90" w:type="dxa"/>
              <w:start w:w="110" w:type="dxa"/>
              <w:bottom w:w="90" w:type="dxa"/>
              <w:end w:w="110" w:type="dxa"/>
            </w:tcMar>
          </w:tcPr>
          <w:p>
            <w:pPr>
              <w:spacing w:after="0" w:line="240" w:lineRule="auto"/>
            </w:pPr>
            <w:r>
              <w:rPr>
                <w:rFonts w:ascii="Aptos" w:hAnsi="Aptos"/>
                <w:color w:val="000000"/>
                <w:sz w:val="16"/>
              </w:rPr>
              <w:t>Audit completeness</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Share of processed requests with all required applicable fields.</w:t>
            </w:r>
          </w:p>
        </w:tc>
        <w:tc>
          <w:tcPr>
            <w:tcW w:type="dxa" w:w="3773"/>
            <w:vAlign w:val="center"/>
            <w:tcMar>
              <w:top w:w="90" w:type="dxa"/>
              <w:start w:w="110" w:type="dxa"/>
              <w:bottom w:w="90" w:type="dxa"/>
              <w:end w:w="110" w:type="dxa"/>
            </w:tcMar>
          </w:tcPr>
          <w:p>
            <w:pPr>
              <w:spacing w:after="0" w:line="240" w:lineRule="auto"/>
            </w:pPr>
            <w:r>
              <w:rPr>
                <w:rFonts w:ascii="Aptos" w:hAnsi="Aptos"/>
                <w:color w:val="000000"/>
                <w:sz w:val="16"/>
              </w:rPr>
              <w:t>100 percent for the evaluation workload.</w:t>
            </w:r>
          </w:p>
        </w:tc>
      </w:tr>
    </w:tbl>
    <w:p>
      <w:pPr>
        <w:spacing w:after="20"/>
        <w:widowControl/>
      </w:pPr>
    </w:p>
    <w:p>
      <w:pPr>
        <w:pStyle w:val="Heading1"/>
      </w:pPr>
      <w:r>
        <w:t>Acceptance criteria</w:t>
      </w:r>
    </w:p>
    <w:p>
      <w:pPr>
        <w:pStyle w:val="ListNumber"/>
        <w:spacing w:after="60"/>
      </w:pPr>
      <w:r>
        <w:rPr>
          <w:rFonts w:ascii="Aptos" w:hAnsi="Aptos"/>
          <w:color w:val="000000"/>
          <w:sz w:val="20"/>
        </w:rPr>
        <w:t>One documented command runs the complete pipeline over an agreed workload and produces a decision record for every input.</w:t>
      </w:r>
    </w:p>
    <w:p>
      <w:pPr>
        <w:pStyle w:val="ListNumber"/>
        <w:spacing w:after="60"/>
      </w:pPr>
      <w:r>
        <w:rPr>
          <w:rFonts w:ascii="Aptos" w:hAnsi="Aptos"/>
          <w:color w:val="000000"/>
          <w:sz w:val="20"/>
        </w:rPr>
        <w:t>Demonstration scenarios visibly cover allow, block, escalate, cache hit, cache miss, and at least two routing tiers.</w:t>
      </w:r>
    </w:p>
    <w:p>
      <w:pPr>
        <w:pStyle w:val="ListNumber"/>
        <w:spacing w:after="60"/>
      </w:pPr>
      <w:r>
        <w:rPr>
          <w:rFonts w:ascii="Aptos" w:hAnsi="Aptos"/>
          <w:color w:val="000000"/>
          <w:sz w:val="20"/>
        </w:rPr>
        <w:t>Safety results include the public benchmark and the separate in-domain banking attack set.</w:t>
      </w:r>
    </w:p>
    <w:p>
      <w:pPr>
        <w:pStyle w:val="ListNumber"/>
        <w:spacing w:after="60"/>
      </w:pPr>
      <w:r>
        <w:rPr>
          <w:rFonts w:ascii="Aptos" w:hAnsi="Aptos"/>
          <w:color w:val="000000"/>
          <w:sz w:val="20"/>
        </w:rPr>
        <w:t>Cache results include precision and recall, a threshold curve, and the selected time-to-live policy.</w:t>
      </w:r>
    </w:p>
    <w:p>
      <w:pPr>
        <w:pStyle w:val="ListNumber"/>
        <w:spacing w:after="60"/>
      </w:pPr>
      <w:r>
        <w:rPr>
          <w:rFonts w:ascii="Aptos" w:hAnsi="Aptos"/>
          <w:color w:val="000000"/>
          <w:sz w:val="20"/>
        </w:rPr>
        <w:t>The dashboard displays risk, cache, tier, token, and estimated cost measures without exposing masked personal data.</w:t>
      </w:r>
    </w:p>
    <w:p>
      <w:pPr>
        <w:pStyle w:val="ListNumber"/>
        <w:spacing w:after="60"/>
      </w:pPr>
      <w:r>
        <w:rPr>
          <w:rFonts w:ascii="Aptos" w:hAnsi="Aptos"/>
          <w:color w:val="000000"/>
          <w:sz w:val="20"/>
        </w:rPr>
        <w:t>The cost comparison states model-price assumptions and separates observed token counts from simulated charges.</w:t>
      </w:r>
    </w:p>
    <w:p>
      <w:pPr>
        <w:pStyle w:val="ListNumber"/>
        <w:spacing w:after="60"/>
      </w:pPr>
      <w:r>
        <w:rPr>
          <w:rFonts w:ascii="Aptos" w:hAnsi="Aptos"/>
          <w:color w:val="000000"/>
          <w:sz w:val="20"/>
        </w:rPr>
        <w:t>The repository contains setup, architecture, evaluation, limitations, and demonstration instructions.</w:t>
      </w:r>
    </w:p>
    <w:p>
      <w:pPr>
        <w:pStyle w:val="ListNumber"/>
        <w:spacing w:after="60"/>
      </w:pPr>
      <w:r>
        <w:rPr>
          <w:rFonts w:ascii="Aptos" w:hAnsi="Aptos"/>
          <w:color w:val="000000"/>
          <w:sz w:val="20"/>
        </w:rPr>
        <w:t>The advisor and team resolve the open decisions listed in this document before final scope freeze.</w:t>
      </w:r>
    </w:p>
    <w:p>
      <w:pPr>
        <w:widowControl/>
      </w:pPr>
      <w:r>
        <w:br w:type="page"/>
      </w:r>
    </w:p>
    <w:p>
      <w:pPr>
        <w:pStyle w:val="Heading1"/>
      </w:pPr>
      <w:r>
        <w:t>Delivery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16"/>
            <w:shd w:fill="18324A"/>
            <w:tcMar>
              <w:top w:w="90" w:type="dxa"/>
              <w:start w:w="110" w:type="dxa"/>
              <w:bottom w:w="90" w:type="dxa"/>
              <w:end w:w="110" w:type="dxa"/>
            </w:tcMar>
            <w:vAlign w:val="center"/>
          </w:tcPr>
          <w:p>
            <w:pPr>
              <w:spacing w:after="0"/>
              <w:jc w:val="center"/>
            </w:pPr>
            <w:r>
              <w:rPr>
                <w:rFonts w:ascii="Aptos" w:hAnsi="Aptos"/>
                <w:b/>
                <w:color w:val="FFFFFF"/>
                <w:sz w:val="17"/>
              </w:rPr>
              <w:t>Dates</w:t>
            </w:r>
          </w:p>
        </w:tc>
        <w:tc>
          <w:tcPr>
            <w:tcW w:type="dxa" w:w="4464"/>
            <w:shd w:fill="18324A"/>
            <w:tcMar>
              <w:top w:w="90" w:type="dxa"/>
              <w:start w:w="110" w:type="dxa"/>
              <w:bottom w:w="90" w:type="dxa"/>
              <w:end w:w="110" w:type="dxa"/>
            </w:tcMar>
            <w:vAlign w:val="center"/>
          </w:tcPr>
          <w:p>
            <w:pPr>
              <w:spacing w:after="0"/>
              <w:jc w:val="center"/>
            </w:pPr>
            <w:r>
              <w:rPr>
                <w:rFonts w:ascii="Aptos" w:hAnsi="Aptos"/>
                <w:b/>
                <w:color w:val="FFFFFF"/>
                <w:sz w:val="17"/>
              </w:rPr>
              <w:t>Planned outcome</w:t>
            </w:r>
          </w:p>
        </w:tc>
        <w:tc>
          <w:tcPr>
            <w:tcW w:type="dxa" w:w="2952"/>
            <w:shd w:fill="18324A"/>
            <w:tcMar>
              <w:top w:w="90" w:type="dxa"/>
              <w:start w:w="110" w:type="dxa"/>
              <w:bottom w:w="90" w:type="dxa"/>
              <w:end w:w="110" w:type="dxa"/>
            </w:tcMar>
            <w:vAlign w:val="center"/>
          </w:tcPr>
          <w:p>
            <w:pPr>
              <w:spacing w:after="0"/>
              <w:jc w:val="center"/>
            </w:pPr>
            <w:r>
              <w:rPr>
                <w:rFonts w:ascii="Aptos" w:hAnsi="Aptos"/>
                <w:b/>
                <w:color w:val="FFFFFF"/>
                <w:sz w:val="17"/>
              </w:rPr>
              <w:t>Completion evidence</w:t>
            </w:r>
          </w:p>
        </w:tc>
      </w:tr>
      <w:tr>
        <w:tc>
          <w:tcPr>
            <w:tcW w:type="dxa" w:w="2016"/>
            <w:vAlign w:val="center"/>
            <w:tcMar>
              <w:top w:w="90" w:type="dxa"/>
              <w:start w:w="110" w:type="dxa"/>
              <w:bottom w:w="90" w:type="dxa"/>
              <w:end w:w="110" w:type="dxa"/>
            </w:tcMar>
          </w:tcPr>
          <w:p>
            <w:pPr>
              <w:spacing w:after="0" w:line="240" w:lineRule="auto"/>
            </w:pPr>
            <w:r>
              <w:rPr>
                <w:rFonts w:ascii="Aptos" w:hAnsi="Aptos"/>
                <w:color w:val="000000"/>
                <w:sz w:val="16"/>
              </w:rPr>
              <w:t>September 14 to 27</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Load core datasets, profile labels and tokens, and build a basic end-to-end version of every stage.</w:t>
            </w:r>
          </w:p>
        </w:tc>
        <w:tc>
          <w:tcPr>
            <w:tcW w:type="dxa" w:w="2952"/>
            <w:vAlign w:val="center"/>
            <w:tcMar>
              <w:top w:w="90" w:type="dxa"/>
              <w:start w:w="110" w:type="dxa"/>
              <w:bottom w:w="90" w:type="dxa"/>
              <w:end w:w="110" w:type="dxa"/>
            </w:tcMar>
          </w:tcPr>
          <w:p>
            <w:pPr>
              <w:spacing w:after="0" w:line="240" w:lineRule="auto"/>
            </w:pPr>
            <w:r>
              <w:rPr>
                <w:rFonts w:ascii="Aptos" w:hAnsi="Aptos"/>
                <w:color w:val="000000"/>
                <w:sz w:val="16"/>
              </w:rPr>
              <w:t>One command prints a complete decision record.</w:t>
            </w:r>
          </w:p>
        </w:tc>
      </w:tr>
      <w:tr>
        <w:tc>
          <w:tcPr>
            <w:tcW w:type="dxa" w:w="2016"/>
            <w:vAlign w:val="center"/>
            <w:tcMar>
              <w:top w:w="90" w:type="dxa"/>
              <w:start w:w="110" w:type="dxa"/>
              <w:bottom w:w="90" w:type="dxa"/>
              <w:end w:w="110" w:type="dxa"/>
            </w:tcMar>
            <w:shd w:fill="F5F9FC"/>
          </w:tcPr>
          <w:p>
            <w:pPr>
              <w:spacing w:after="0" w:line="240" w:lineRule="auto"/>
            </w:pPr>
            <w:r>
              <w:rPr>
                <w:rFonts w:ascii="Aptos" w:hAnsi="Aptos"/>
                <w:color w:val="000000"/>
                <w:sz w:val="16"/>
              </w:rPr>
              <w:t>September 28 to October 4</w:t>
            </w:r>
          </w:p>
        </w:tc>
        <w:tc>
          <w:tcPr>
            <w:tcW w:type="dxa" w:w="4464"/>
            <w:vAlign w:val="center"/>
            <w:tcMar>
              <w:top w:w="90" w:type="dxa"/>
              <w:start w:w="110" w:type="dxa"/>
              <w:bottom w:w="90" w:type="dxa"/>
              <w:end w:w="110" w:type="dxa"/>
            </w:tcMar>
            <w:shd w:fill="F5F9FC"/>
          </w:tcPr>
          <w:p>
            <w:pPr>
              <w:spacing w:after="0" w:line="240" w:lineRule="auto"/>
            </w:pPr>
            <w:r>
              <w:rPr>
                <w:rFonts w:ascii="Aptos" w:hAnsi="Aptos"/>
                <w:color w:val="000000"/>
                <w:sz w:val="16"/>
              </w:rPr>
              <w:t>Create the baseline classifier and team-authored attack prompts.</w:t>
            </w:r>
          </w:p>
        </w:tc>
        <w:tc>
          <w:tcPr>
            <w:tcW w:type="dxa" w:w="2952"/>
            <w:vAlign w:val="center"/>
            <w:tcMar>
              <w:top w:w="90" w:type="dxa"/>
              <w:start w:w="110" w:type="dxa"/>
              <w:bottom w:w="90" w:type="dxa"/>
              <w:end w:w="110" w:type="dxa"/>
            </w:tcMar>
            <w:shd w:fill="F5F9FC"/>
          </w:tcPr>
          <w:p>
            <w:pPr>
              <w:spacing w:after="0" w:line="240" w:lineRule="auto"/>
            </w:pPr>
            <w:r>
              <w:rPr>
                <w:rFonts w:ascii="Aptos" w:hAnsi="Aptos"/>
                <w:color w:val="000000"/>
                <w:sz w:val="16"/>
              </w:rPr>
              <w:t>Baseline metrics recorded and approximately 150 attacks drafted.</w:t>
            </w:r>
          </w:p>
        </w:tc>
      </w:tr>
      <w:tr>
        <w:tc>
          <w:tcPr>
            <w:tcW w:type="dxa" w:w="2016"/>
            <w:vAlign w:val="center"/>
            <w:tcMar>
              <w:top w:w="90" w:type="dxa"/>
              <w:start w:w="110" w:type="dxa"/>
              <w:bottom w:w="90" w:type="dxa"/>
              <w:end w:w="110" w:type="dxa"/>
            </w:tcMar>
          </w:tcPr>
          <w:p>
            <w:pPr>
              <w:spacing w:after="0" w:line="240" w:lineRule="auto"/>
              <w:jc w:val="center"/>
            </w:pPr>
            <w:r>
              <w:rPr>
                <w:rFonts w:ascii="Aptos" w:hAnsi="Aptos"/>
                <w:color w:val="000000"/>
                <w:sz w:val="16"/>
              </w:rPr>
              <w:t>October 5 to 18</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Fine-tune the lightweight classifier and move policy rules into configuration.</w:t>
            </w:r>
          </w:p>
        </w:tc>
        <w:tc>
          <w:tcPr>
            <w:tcW w:type="dxa" w:w="2952"/>
            <w:vAlign w:val="center"/>
            <w:tcMar>
              <w:top w:w="90" w:type="dxa"/>
              <w:start w:w="110" w:type="dxa"/>
              <w:bottom w:w="90" w:type="dxa"/>
              <w:end w:w="110" w:type="dxa"/>
            </w:tcMar>
          </w:tcPr>
          <w:p>
            <w:pPr>
              <w:spacing w:after="0" w:line="240" w:lineRule="auto"/>
            </w:pPr>
            <w:r>
              <w:rPr>
                <w:rFonts w:ascii="Aptos" w:hAnsi="Aptos"/>
                <w:color w:val="000000"/>
                <w:sz w:val="16"/>
              </w:rPr>
              <w:t>Easy and hard safety scores plus versioned policy file.</w:t>
            </w:r>
          </w:p>
        </w:tc>
      </w:tr>
      <w:tr>
        <w:tc>
          <w:tcPr>
            <w:tcW w:type="dxa" w:w="2016"/>
            <w:vAlign w:val="center"/>
            <w:tcMar>
              <w:top w:w="90" w:type="dxa"/>
              <w:start w:w="110" w:type="dxa"/>
              <w:bottom w:w="90" w:type="dxa"/>
              <w:end w:w="110" w:type="dxa"/>
            </w:tcMar>
            <w:shd w:fill="F5F9FC"/>
          </w:tcPr>
          <w:p>
            <w:pPr>
              <w:spacing w:after="0" w:line="240" w:lineRule="auto"/>
            </w:pPr>
            <w:r>
              <w:rPr>
                <w:rFonts w:ascii="Aptos" w:hAnsi="Aptos"/>
                <w:color w:val="000000"/>
                <w:sz w:val="16"/>
              </w:rPr>
              <w:t>October 19 to November 1</w:t>
            </w:r>
          </w:p>
        </w:tc>
        <w:tc>
          <w:tcPr>
            <w:tcW w:type="dxa" w:w="4464"/>
            <w:vAlign w:val="center"/>
            <w:tcMar>
              <w:top w:w="90" w:type="dxa"/>
              <w:start w:w="110" w:type="dxa"/>
              <w:bottom w:w="90" w:type="dxa"/>
              <w:end w:w="110" w:type="dxa"/>
            </w:tcMar>
            <w:shd w:fill="F5F9FC"/>
          </w:tcPr>
          <w:p>
            <w:pPr>
              <w:spacing w:after="0" w:line="240" w:lineRule="auto"/>
            </w:pPr>
            <w:r>
              <w:rPr>
                <w:rFonts w:ascii="Aptos" w:hAnsi="Aptos"/>
                <w:color w:val="000000"/>
                <w:sz w:val="16"/>
              </w:rPr>
              <w:t>Build semantic cache, threshold evaluation, and intent-based time-to-live rules.</w:t>
            </w:r>
          </w:p>
        </w:tc>
        <w:tc>
          <w:tcPr>
            <w:tcW w:type="dxa" w:w="2952"/>
            <w:vAlign w:val="center"/>
            <w:tcMar>
              <w:top w:w="90" w:type="dxa"/>
              <w:start w:w="110" w:type="dxa"/>
              <w:bottom w:w="90" w:type="dxa"/>
              <w:end w:w="110" w:type="dxa"/>
            </w:tcMar>
            <w:shd w:fill="F5F9FC"/>
          </w:tcPr>
          <w:p>
            <w:pPr>
              <w:spacing w:after="0" w:line="240" w:lineRule="auto"/>
            </w:pPr>
            <w:r>
              <w:rPr>
                <w:rFonts w:ascii="Aptos" w:hAnsi="Aptos"/>
                <w:color w:val="000000"/>
                <w:sz w:val="16"/>
              </w:rPr>
              <w:t>Cache precision and recall curve and selected policy.</w:t>
            </w:r>
          </w:p>
        </w:tc>
      </w:tr>
      <w:tr>
        <w:tc>
          <w:tcPr>
            <w:tcW w:type="dxa" w:w="2016"/>
            <w:vAlign w:val="center"/>
            <w:tcMar>
              <w:top w:w="90" w:type="dxa"/>
              <w:start w:w="110" w:type="dxa"/>
              <w:bottom w:w="90" w:type="dxa"/>
              <w:end w:w="110" w:type="dxa"/>
            </w:tcMar>
          </w:tcPr>
          <w:p>
            <w:pPr>
              <w:spacing w:after="0" w:line="240" w:lineRule="auto"/>
              <w:jc w:val="center"/>
            </w:pPr>
            <w:r>
              <w:rPr>
                <w:rFonts w:ascii="Aptos" w:hAnsi="Aptos"/>
                <w:color w:val="000000"/>
                <w:sz w:val="16"/>
              </w:rPr>
              <w:t>November 2 to 8</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Add routing, cost model, and full workload evaluation.</w:t>
            </w:r>
          </w:p>
        </w:tc>
        <w:tc>
          <w:tcPr>
            <w:tcW w:type="dxa" w:w="2952"/>
            <w:vAlign w:val="center"/>
            <w:tcMar>
              <w:top w:w="90" w:type="dxa"/>
              <w:start w:w="110" w:type="dxa"/>
              <w:bottom w:w="90" w:type="dxa"/>
              <w:end w:w="110" w:type="dxa"/>
            </w:tcMar>
          </w:tcPr>
          <w:p>
            <w:pPr>
              <w:spacing w:after="0" w:line="240" w:lineRule="auto"/>
            </w:pPr>
            <w:r>
              <w:rPr>
                <w:rFonts w:ascii="Aptos" w:hAnsi="Aptos"/>
                <w:color w:val="000000"/>
                <w:sz w:val="16"/>
              </w:rPr>
              <w:t>Headline estimated savings and tier distribution.</w:t>
            </w:r>
          </w:p>
        </w:tc>
      </w:tr>
      <w:tr>
        <w:tc>
          <w:tcPr>
            <w:tcW w:type="dxa" w:w="2016"/>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November 9 to 20</w:t>
            </w:r>
          </w:p>
        </w:tc>
        <w:tc>
          <w:tcPr>
            <w:tcW w:type="dxa" w:w="4464"/>
            <w:vAlign w:val="center"/>
            <w:tcMar>
              <w:top w:w="90" w:type="dxa"/>
              <w:start w:w="110" w:type="dxa"/>
              <w:bottom w:w="90" w:type="dxa"/>
              <w:end w:w="110" w:type="dxa"/>
            </w:tcMar>
            <w:shd w:fill="F5F9FC"/>
          </w:tcPr>
          <w:p>
            <w:pPr>
              <w:spacing w:after="0" w:line="240" w:lineRule="auto"/>
            </w:pPr>
            <w:r>
              <w:rPr>
                <w:rFonts w:ascii="Aptos" w:hAnsi="Aptos"/>
                <w:color w:val="000000"/>
                <w:sz w:val="16"/>
              </w:rPr>
              <w:t>Complete dashboard, documentation, architecture, evaluation, and limitations.</w:t>
            </w:r>
          </w:p>
        </w:tc>
        <w:tc>
          <w:tcPr>
            <w:tcW w:type="dxa" w:w="2952"/>
            <w:vAlign w:val="center"/>
            <w:tcMar>
              <w:top w:w="90" w:type="dxa"/>
              <w:start w:w="110" w:type="dxa"/>
              <w:bottom w:w="90" w:type="dxa"/>
              <w:end w:w="110" w:type="dxa"/>
            </w:tcMar>
            <w:shd w:fill="F5F9FC"/>
          </w:tcPr>
          <w:p>
            <w:pPr>
              <w:spacing w:after="0" w:line="240" w:lineRule="auto"/>
            </w:pPr>
            <w:r>
              <w:rPr>
                <w:rFonts w:ascii="Aptos" w:hAnsi="Aptos"/>
                <w:color w:val="000000"/>
                <w:sz w:val="16"/>
              </w:rPr>
              <w:t>Code freeze on November 20.</w:t>
            </w:r>
          </w:p>
        </w:tc>
      </w:tr>
      <w:tr>
        <w:tc>
          <w:tcPr>
            <w:tcW w:type="dxa" w:w="2016"/>
            <w:vAlign w:val="center"/>
            <w:tcMar>
              <w:top w:w="90" w:type="dxa"/>
              <w:start w:w="110" w:type="dxa"/>
              <w:bottom w:w="90" w:type="dxa"/>
              <w:end w:w="110" w:type="dxa"/>
            </w:tcMar>
          </w:tcPr>
          <w:p>
            <w:pPr>
              <w:spacing w:after="0" w:line="240" w:lineRule="auto"/>
            </w:pPr>
            <w:r>
              <w:rPr>
                <w:rFonts w:ascii="Aptos" w:hAnsi="Aptos"/>
                <w:color w:val="000000"/>
                <w:sz w:val="16"/>
              </w:rPr>
              <w:t>November 23 onward</w:t>
            </w:r>
          </w:p>
        </w:tc>
        <w:tc>
          <w:tcPr>
            <w:tcW w:type="dxa" w:w="4464"/>
            <w:vAlign w:val="center"/>
            <w:tcMar>
              <w:top w:w="90" w:type="dxa"/>
              <w:start w:w="110" w:type="dxa"/>
              <w:bottom w:w="90" w:type="dxa"/>
              <w:end w:w="110" w:type="dxa"/>
            </w:tcMar>
          </w:tcPr>
          <w:p>
            <w:pPr>
              <w:spacing w:after="0" w:line="240" w:lineRule="auto"/>
            </w:pPr>
            <w:r>
              <w:rPr>
                <w:rFonts w:ascii="Aptos" w:hAnsi="Aptos"/>
                <w:color w:val="000000"/>
                <w:sz w:val="16"/>
              </w:rPr>
              <w:t>Rehearse and correct demonstration defects only.</w:t>
            </w:r>
          </w:p>
        </w:tc>
        <w:tc>
          <w:tcPr>
            <w:tcW w:type="dxa" w:w="2952"/>
            <w:vAlign w:val="center"/>
            <w:tcMar>
              <w:top w:w="90" w:type="dxa"/>
              <w:start w:w="110" w:type="dxa"/>
              <w:bottom w:w="90" w:type="dxa"/>
              <w:end w:w="110" w:type="dxa"/>
            </w:tcMar>
          </w:tcPr>
          <w:p>
            <w:pPr>
              <w:spacing w:after="0" w:line="240" w:lineRule="auto"/>
            </w:pPr>
            <w:r>
              <w:rPr>
                <w:rFonts w:ascii="Aptos" w:hAnsi="Aptos"/>
                <w:color w:val="000000"/>
                <w:sz w:val="16"/>
              </w:rPr>
              <w:t>Presentation and demonstration ready.</w:t>
            </w:r>
          </w:p>
        </w:tc>
      </w:tr>
    </w:tbl>
    <w:p>
      <w:pPr>
        <w:spacing w:after="20"/>
        <w:widowControl/>
      </w:pPr>
    </w:p>
    <w:p>
      <w:pPr>
        <w:pStyle w:val="Heading2"/>
      </w:pPr>
      <w:r>
        <w:t>Deliverables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8324A"/>
            <w:tcMar>
              <w:top w:w="90" w:type="dxa"/>
              <w:start w:w="110" w:type="dxa"/>
              <w:bottom w:w="90" w:type="dxa"/>
              <w:end w:w="110" w:type="dxa"/>
            </w:tcMar>
            <w:vAlign w:val="center"/>
          </w:tcPr>
          <w:p>
            <w:pPr>
              <w:spacing w:after="0"/>
              <w:jc w:val="center"/>
            </w:pPr>
            <w:r>
              <w:rPr>
                <w:rFonts w:ascii="Aptos" w:hAnsi="Aptos"/>
                <w:b/>
                <w:color w:val="FFFFFF"/>
                <w:sz w:val="18"/>
              </w:rPr>
              <w:t>Deliverable</w:t>
            </w:r>
          </w:p>
        </w:tc>
        <w:tc>
          <w:tcPr>
            <w:tcW w:type="dxa" w:w="6912"/>
            <w:shd w:fill="18324A"/>
            <w:tcMar>
              <w:top w:w="90" w:type="dxa"/>
              <w:start w:w="110" w:type="dxa"/>
              <w:bottom w:w="90" w:type="dxa"/>
              <w:end w:w="110" w:type="dxa"/>
            </w:tcMar>
            <w:vAlign w:val="center"/>
          </w:tcPr>
          <w:p>
            <w:pPr>
              <w:spacing w:after="0"/>
              <w:jc w:val="center"/>
            </w:pPr>
            <w:r>
              <w:rPr>
                <w:rFonts w:ascii="Aptos" w:hAnsi="Aptos"/>
                <w:b/>
                <w:color w:val="FFFFFF"/>
                <w:sz w:val="18"/>
              </w:rPr>
              <w:t>Minimum content</w:t>
            </w:r>
          </w:p>
        </w:tc>
      </w:tr>
      <w:tr>
        <w:tc>
          <w:tcPr>
            <w:tcW w:type="dxa" w:w="2520"/>
            <w:vAlign w:val="center"/>
            <w:tcMar>
              <w:top w:w="90" w:type="dxa"/>
              <w:start w:w="110" w:type="dxa"/>
              <w:bottom w:w="90" w:type="dxa"/>
              <w:end w:w="110" w:type="dxa"/>
            </w:tcMar>
          </w:tcPr>
          <w:p>
            <w:pPr>
              <w:spacing w:after="0" w:line="240" w:lineRule="auto"/>
              <w:jc w:val="center"/>
            </w:pPr>
            <w:r>
              <w:rPr>
                <w:rFonts w:ascii="Aptos" w:hAnsi="Aptos"/>
                <w:color w:val="000000"/>
                <w:sz w:val="17"/>
              </w:rPr>
              <w:t>Python package</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Stable process interface, modular pipeline, configurable policy, and repeatable tests.</w:t>
            </w:r>
          </w:p>
        </w:tc>
      </w:tr>
      <w:tr>
        <w:tc>
          <w:tcPr>
            <w:tcW w:type="dxa" w:w="2520"/>
            <w:vAlign w:val="center"/>
            <w:tcMar>
              <w:top w:w="90" w:type="dxa"/>
              <w:start w:w="110" w:type="dxa"/>
              <w:bottom w:w="90" w:type="dxa"/>
              <w:end w:w="110" w:type="dxa"/>
            </w:tcMar>
            <w:shd w:fill="F5F9FC"/>
          </w:tcPr>
          <w:p>
            <w:pPr>
              <w:spacing w:after="0" w:line="240" w:lineRule="auto"/>
            </w:pPr>
            <w:r>
              <w:rPr>
                <w:rFonts w:ascii="Aptos" w:hAnsi="Aptos"/>
                <w:color w:val="000000"/>
                <w:sz w:val="17"/>
              </w:rPr>
              <w:t>Streamlit demonstration</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Single-query stage view and aggregate workload dashboard.</w:t>
            </w:r>
          </w:p>
        </w:tc>
      </w:tr>
      <w:tr>
        <w:tc>
          <w:tcPr>
            <w:tcW w:type="dxa" w:w="2520"/>
            <w:vAlign w:val="center"/>
            <w:tcMar>
              <w:top w:w="90" w:type="dxa"/>
              <w:start w:w="110" w:type="dxa"/>
              <w:bottom w:w="90" w:type="dxa"/>
              <w:end w:w="110" w:type="dxa"/>
            </w:tcMar>
          </w:tcPr>
          <w:p>
            <w:pPr>
              <w:spacing w:after="0" w:line="240" w:lineRule="auto"/>
            </w:pPr>
            <w:r>
              <w:rPr>
                <w:rFonts w:ascii="Aptos" w:hAnsi="Aptos"/>
                <w:color w:val="000000"/>
                <w:sz w:val="17"/>
              </w:rPr>
              <w:t>Evaluation package</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Safety, cache, token, cost, and routing results with saved configuration.</w:t>
            </w:r>
          </w:p>
        </w:tc>
      </w:tr>
      <w:tr>
        <w:tc>
          <w:tcPr>
            <w:tcW w:type="dxa" w:w="2520"/>
            <w:vAlign w:val="center"/>
            <w:tcMar>
              <w:top w:w="90" w:type="dxa"/>
              <w:start w:w="110" w:type="dxa"/>
              <w:bottom w:w="90" w:type="dxa"/>
              <w:end w:w="110" w:type="dxa"/>
            </w:tcMar>
            <w:shd w:fill="F5F9FC"/>
          </w:tcPr>
          <w:p>
            <w:pPr>
              <w:spacing w:after="0" w:line="240" w:lineRule="auto"/>
            </w:pPr>
            <w:r>
              <w:rPr>
                <w:rFonts w:ascii="Aptos" w:hAnsi="Aptos"/>
                <w:color w:val="000000"/>
                <w:sz w:val="17"/>
              </w:rPr>
              <w:t>Repository documentation</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README, setup, usage, architecture, data, limitations, and demonstration script.</w:t>
            </w:r>
          </w:p>
        </w:tc>
      </w:tr>
      <w:tr>
        <w:tc>
          <w:tcPr>
            <w:tcW w:type="dxa" w:w="2520"/>
            <w:vAlign w:val="center"/>
            <w:tcMar>
              <w:top w:w="90" w:type="dxa"/>
              <w:start w:w="110" w:type="dxa"/>
              <w:bottom w:w="90" w:type="dxa"/>
              <w:end w:w="110" w:type="dxa"/>
            </w:tcMar>
          </w:tcPr>
          <w:p>
            <w:pPr>
              <w:spacing w:after="0" w:line="240" w:lineRule="auto"/>
            </w:pPr>
            <w:r>
              <w:rPr>
                <w:rFonts w:ascii="Aptos" w:hAnsi="Aptos"/>
                <w:color w:val="000000"/>
                <w:sz w:val="17"/>
              </w:rPr>
              <w:t>Architecture diagram</w:t>
            </w:r>
          </w:p>
        </w:tc>
        <w:tc>
          <w:tcPr>
            <w:tcW w:type="dxa" w:w="6912"/>
            <w:vAlign w:val="center"/>
            <w:tcMar>
              <w:top w:w="90" w:type="dxa"/>
              <w:start w:w="110" w:type="dxa"/>
              <w:bottom w:w="90" w:type="dxa"/>
              <w:end w:w="110" w:type="dxa"/>
            </w:tcMar>
          </w:tcPr>
          <w:p>
            <w:pPr>
              <w:spacing w:after="0" w:line="240" w:lineRule="auto"/>
            </w:pPr>
            <w:r>
              <w:rPr>
                <w:rFonts w:ascii="Aptos" w:hAnsi="Aptos"/>
                <w:color w:val="000000"/>
                <w:sz w:val="17"/>
              </w:rPr>
              <w:t>Components, sequence, stop points, data boundaries, and audit flow.</w:t>
            </w:r>
          </w:p>
        </w:tc>
      </w:tr>
      <w:tr>
        <w:tc>
          <w:tcPr>
            <w:tcW w:type="dxa" w:w="2520"/>
            <w:vAlign w:val="center"/>
            <w:tcMar>
              <w:top w:w="90" w:type="dxa"/>
              <w:start w:w="110" w:type="dxa"/>
              <w:bottom w:w="90" w:type="dxa"/>
              <w:end w:w="110" w:type="dxa"/>
            </w:tcMar>
            <w:shd w:fill="F5F9FC"/>
          </w:tcPr>
          <w:p>
            <w:pPr>
              <w:spacing w:after="0" w:line="240" w:lineRule="auto"/>
            </w:pPr>
            <w:r>
              <w:rPr>
                <w:rFonts w:ascii="Aptos" w:hAnsi="Aptos"/>
                <w:color w:val="000000"/>
                <w:sz w:val="17"/>
              </w:rPr>
              <w:t>Decision log artifacts</w:t>
            </w:r>
          </w:p>
        </w:tc>
        <w:tc>
          <w:tcPr>
            <w:tcW w:type="dxa" w:w="6912"/>
            <w:vAlign w:val="center"/>
            <w:tcMar>
              <w:top w:w="90" w:type="dxa"/>
              <w:start w:w="110" w:type="dxa"/>
              <w:bottom w:w="90" w:type="dxa"/>
              <w:end w:w="110" w:type="dxa"/>
            </w:tcMar>
            <w:shd w:fill="F5F9FC"/>
          </w:tcPr>
          <w:p>
            <w:pPr>
              <w:spacing w:after="0" w:line="240" w:lineRule="auto"/>
            </w:pPr>
            <w:r>
              <w:rPr>
                <w:rFonts w:ascii="Aptos" w:hAnsi="Aptos"/>
                <w:color w:val="000000"/>
                <w:sz w:val="17"/>
              </w:rPr>
              <w:t>Machine-readable records for demonstration and evaluation workloads.</w:t>
            </w:r>
          </w:p>
        </w:tc>
      </w:tr>
    </w:tbl>
    <w:p>
      <w:pPr>
        <w:spacing w:after="20"/>
        <w:widowControl/>
      </w:pPr>
    </w:p>
    <w:p>
      <w:pPr>
        <w:pStyle w:val="Heading2"/>
      </w:pPr>
      <w:r>
        <w:t>Team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92"/>
            <w:shd w:fill="18324A"/>
            <w:tcMar>
              <w:top w:w="90" w:type="dxa"/>
              <w:start w:w="110" w:type="dxa"/>
              <w:bottom w:w="90" w:type="dxa"/>
              <w:end w:w="110" w:type="dxa"/>
            </w:tcMar>
            <w:vAlign w:val="center"/>
          </w:tcPr>
          <w:p>
            <w:pPr>
              <w:spacing w:after="0"/>
              <w:jc w:val="center"/>
            </w:pPr>
            <w:r>
              <w:rPr>
                <w:rFonts w:ascii="Aptos" w:hAnsi="Aptos"/>
                <w:b/>
                <w:color w:val="FFFFFF"/>
                <w:sz w:val="18"/>
              </w:rPr>
              <w:t>Role</w:t>
            </w:r>
          </w:p>
        </w:tc>
        <w:tc>
          <w:tcPr>
            <w:tcW w:type="dxa" w:w="6840"/>
            <w:shd w:fill="18324A"/>
            <w:tcMar>
              <w:top w:w="90" w:type="dxa"/>
              <w:start w:w="110" w:type="dxa"/>
              <w:bottom w:w="90" w:type="dxa"/>
              <w:end w:w="110" w:type="dxa"/>
            </w:tcMar>
            <w:vAlign w:val="center"/>
          </w:tcPr>
          <w:p>
            <w:pPr>
              <w:spacing w:after="0"/>
              <w:jc w:val="center"/>
            </w:pPr>
            <w:r>
              <w:rPr>
                <w:rFonts w:ascii="Aptos" w:hAnsi="Aptos"/>
                <w:b/>
                <w:color w:val="FFFFFF"/>
                <w:sz w:val="18"/>
              </w:rPr>
              <w:t>Primary ownership</w:t>
            </w:r>
          </w:p>
        </w:tc>
      </w:tr>
      <w:tr>
        <w:tc>
          <w:tcPr>
            <w:tcW w:type="dxa" w:w="2592"/>
            <w:vAlign w:val="center"/>
            <w:tcMar>
              <w:top w:w="90" w:type="dxa"/>
              <w:start w:w="110" w:type="dxa"/>
              <w:bottom w:w="90" w:type="dxa"/>
              <w:end w:w="110" w:type="dxa"/>
            </w:tcMar>
          </w:tcPr>
          <w:p>
            <w:pPr>
              <w:spacing w:after="0" w:line="240" w:lineRule="auto"/>
            </w:pPr>
            <w:r>
              <w:rPr>
                <w:rFonts w:ascii="Aptos" w:hAnsi="Aptos"/>
                <w:color w:val="000000"/>
                <w:sz w:val="17"/>
              </w:rPr>
              <w:t>Safety team 2 people</w:t>
            </w:r>
          </w:p>
        </w:tc>
        <w:tc>
          <w:tcPr>
            <w:tcW w:type="dxa" w:w="6840"/>
            <w:vAlign w:val="center"/>
            <w:tcMar>
              <w:top w:w="90" w:type="dxa"/>
              <w:start w:w="110" w:type="dxa"/>
              <w:bottom w:w="90" w:type="dxa"/>
              <w:end w:w="110" w:type="dxa"/>
            </w:tcMar>
          </w:tcPr>
          <w:p>
            <w:pPr>
              <w:spacing w:after="0" w:line="240" w:lineRule="auto"/>
            </w:pPr>
            <w:r>
              <w:rPr>
                <w:rFonts w:ascii="Aptos" w:hAnsi="Aptos"/>
                <w:color w:val="000000"/>
                <w:sz w:val="17"/>
              </w:rPr>
              <w:t>Risk classifier, policy engine, attack set, and safety evaluation.</w:t>
            </w:r>
          </w:p>
        </w:tc>
      </w:tr>
      <w:tr>
        <w:tc>
          <w:tcPr>
            <w:tcW w:type="dxa" w:w="2592"/>
            <w:vAlign w:val="center"/>
            <w:tcMar>
              <w:top w:w="90" w:type="dxa"/>
              <w:start w:w="110" w:type="dxa"/>
              <w:bottom w:w="90" w:type="dxa"/>
              <w:end w:w="110" w:type="dxa"/>
            </w:tcMar>
            <w:shd w:fill="F5F9FC"/>
          </w:tcPr>
          <w:p>
            <w:pPr>
              <w:spacing w:after="0" w:line="240" w:lineRule="auto"/>
            </w:pPr>
            <w:r>
              <w:rPr>
                <w:rFonts w:ascii="Aptos" w:hAnsi="Aptos"/>
                <w:color w:val="000000"/>
                <w:sz w:val="17"/>
              </w:rPr>
              <w:t>Cost team 2 people</w:t>
            </w:r>
          </w:p>
        </w:tc>
        <w:tc>
          <w:tcPr>
            <w:tcW w:type="dxa" w:w="6840"/>
            <w:vAlign w:val="center"/>
            <w:tcMar>
              <w:top w:w="90" w:type="dxa"/>
              <w:start w:w="110" w:type="dxa"/>
              <w:bottom w:w="90" w:type="dxa"/>
              <w:end w:w="110" w:type="dxa"/>
            </w:tcMar>
            <w:shd w:fill="F5F9FC"/>
          </w:tcPr>
          <w:p>
            <w:pPr>
              <w:spacing w:after="0" w:line="240" w:lineRule="auto"/>
            </w:pPr>
            <w:r>
              <w:rPr>
                <w:rFonts w:ascii="Aptos" w:hAnsi="Aptos"/>
                <w:color w:val="000000"/>
                <w:sz w:val="17"/>
              </w:rPr>
              <w:t>Semantic cache, router, token counting, and cost model.</w:t>
            </w:r>
          </w:p>
        </w:tc>
      </w:tr>
      <w:tr>
        <w:tc>
          <w:tcPr>
            <w:tcW w:type="dxa" w:w="2592"/>
            <w:vAlign w:val="center"/>
            <w:tcMar>
              <w:top w:w="90" w:type="dxa"/>
              <w:start w:w="110" w:type="dxa"/>
              <w:bottom w:w="90" w:type="dxa"/>
              <w:end w:w="110" w:type="dxa"/>
            </w:tcMar>
          </w:tcPr>
          <w:p>
            <w:pPr>
              <w:spacing w:after="0" w:line="240" w:lineRule="auto"/>
            </w:pPr>
            <w:r>
              <w:rPr>
                <w:rFonts w:ascii="Aptos" w:hAnsi="Aptos"/>
                <w:color w:val="000000"/>
                <w:sz w:val="17"/>
              </w:rPr>
              <w:t>Infrastructure 1 person</w:t>
            </w:r>
          </w:p>
        </w:tc>
        <w:tc>
          <w:tcPr>
            <w:tcW w:type="dxa" w:w="6840"/>
            <w:vAlign w:val="center"/>
            <w:tcMar>
              <w:top w:w="90" w:type="dxa"/>
              <w:start w:w="110" w:type="dxa"/>
              <w:bottom w:w="90" w:type="dxa"/>
              <w:end w:w="110" w:type="dxa"/>
            </w:tcMar>
          </w:tcPr>
          <w:p>
            <w:pPr>
              <w:spacing w:after="0" w:line="240" w:lineRule="auto"/>
            </w:pPr>
            <w:r>
              <w:rPr>
                <w:rFonts w:ascii="Aptos" w:hAnsi="Aptos"/>
                <w:color w:val="000000"/>
                <w:sz w:val="17"/>
              </w:rPr>
              <w:t>Decision schema, pipeline integration, repository, and dashboard.</w:t>
            </w:r>
          </w:p>
        </w:tc>
      </w:tr>
      <w:tr>
        <w:tc>
          <w:tcPr>
            <w:tcW w:type="dxa" w:w="259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Whole team</w:t>
            </w:r>
          </w:p>
        </w:tc>
        <w:tc>
          <w:tcPr>
            <w:tcW w:type="dxa" w:w="6840"/>
            <w:vAlign w:val="center"/>
            <w:tcMar>
              <w:top w:w="90" w:type="dxa"/>
              <w:start w:w="110" w:type="dxa"/>
              <w:bottom w:w="90" w:type="dxa"/>
              <w:end w:w="110" w:type="dxa"/>
            </w:tcMar>
            <w:shd w:fill="F5F9FC"/>
          </w:tcPr>
          <w:p>
            <w:pPr>
              <w:spacing w:after="0" w:line="240" w:lineRule="auto"/>
            </w:pPr>
            <w:r>
              <w:rPr>
                <w:rFonts w:ascii="Aptos" w:hAnsi="Aptos"/>
                <w:color w:val="000000"/>
                <w:sz w:val="17"/>
              </w:rPr>
              <w:t>Scope decisions, reviews, documentation, demonstration, and advisor communication.</w:t>
            </w:r>
          </w:p>
        </w:tc>
      </w:tr>
    </w:tbl>
    <w:p>
      <w:pPr>
        <w:spacing w:after="20"/>
        <w:widowControl/>
      </w:pPr>
    </w:p>
    <w:p>
      <w:pPr>
        <w:widowControl/>
      </w:pPr>
      <w:r>
        <w:br w:type="page"/>
      </w:r>
    </w:p>
    <w:p>
      <w:pPr>
        <w:pStyle w:val="Heading1"/>
      </w:pPr>
      <w:r>
        <w:t>Risks and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8324A"/>
            <w:tcMar>
              <w:top w:w="90" w:type="dxa"/>
              <w:start w:w="110" w:type="dxa"/>
              <w:bottom w:w="90" w:type="dxa"/>
              <w:end w:w="110" w:type="dxa"/>
            </w:tcMar>
            <w:vAlign w:val="center"/>
          </w:tcPr>
          <w:p>
            <w:pPr>
              <w:spacing w:after="0"/>
              <w:jc w:val="center"/>
            </w:pPr>
            <w:r>
              <w:rPr>
                <w:rFonts w:ascii="Aptos" w:hAnsi="Aptos"/>
                <w:b/>
                <w:color w:val="FFFFFF"/>
                <w:sz w:val="17"/>
              </w:rPr>
              <w:t>Risk</w:t>
            </w:r>
          </w:p>
        </w:tc>
        <w:tc>
          <w:tcPr>
            <w:tcW w:type="dxa" w:w="3240"/>
            <w:shd w:fill="18324A"/>
            <w:tcMar>
              <w:top w:w="90" w:type="dxa"/>
              <w:start w:w="110" w:type="dxa"/>
              <w:bottom w:w="90" w:type="dxa"/>
              <w:end w:w="110" w:type="dxa"/>
            </w:tcMar>
            <w:vAlign w:val="center"/>
          </w:tcPr>
          <w:p>
            <w:pPr>
              <w:spacing w:after="0"/>
              <w:jc w:val="center"/>
            </w:pPr>
            <w:r>
              <w:rPr>
                <w:rFonts w:ascii="Aptos" w:hAnsi="Aptos"/>
                <w:b/>
                <w:color w:val="FFFFFF"/>
                <w:sz w:val="17"/>
              </w:rPr>
              <w:t>Impact</w:t>
            </w:r>
          </w:p>
        </w:tc>
        <w:tc>
          <w:tcPr>
            <w:tcW w:type="dxa" w:w="4104"/>
            <w:shd w:fill="18324A"/>
            <w:tcMar>
              <w:top w:w="90" w:type="dxa"/>
              <w:start w:w="110" w:type="dxa"/>
              <w:bottom w:w="90" w:type="dxa"/>
              <w:end w:w="110" w:type="dxa"/>
            </w:tcMar>
            <w:vAlign w:val="center"/>
          </w:tcPr>
          <w:p>
            <w:pPr>
              <w:spacing w:after="0"/>
              <w:jc w:val="center"/>
            </w:pPr>
            <w:r>
              <w:rPr>
                <w:rFonts w:ascii="Aptos" w:hAnsi="Aptos"/>
                <w:b/>
                <w:color w:val="FFFFFF"/>
                <w:sz w:val="17"/>
              </w:rPr>
              <w:t>Planned control</w:t>
            </w:r>
          </w:p>
        </w:tc>
      </w:tr>
      <w:tr>
        <w:tc>
          <w:tcPr>
            <w:tcW w:type="dxa" w:w="2088"/>
            <w:vAlign w:val="center"/>
            <w:tcMar>
              <w:top w:w="90" w:type="dxa"/>
              <w:start w:w="110" w:type="dxa"/>
              <w:bottom w:w="90" w:type="dxa"/>
              <w:end w:w="110" w:type="dxa"/>
            </w:tcMar>
          </w:tcPr>
          <w:p>
            <w:pPr>
              <w:spacing w:after="0" w:line="240" w:lineRule="auto"/>
            </w:pPr>
            <w:r>
              <w:rPr>
                <w:rFonts w:ascii="Aptos" w:hAnsi="Aptos"/>
                <w:color w:val="000000"/>
                <w:sz w:val="16"/>
              </w:rPr>
              <w:t>Domain shortcut learning</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Classifier appears strong because harmful and benign datasets differ by topic rather than risk.</w:t>
            </w:r>
          </w:p>
        </w:tc>
        <w:tc>
          <w:tcPr>
            <w:tcW w:type="dxa" w:w="4104"/>
            <w:vAlign w:val="center"/>
            <w:tcMar>
              <w:top w:w="90" w:type="dxa"/>
              <w:start w:w="110" w:type="dxa"/>
              <w:bottom w:w="90" w:type="dxa"/>
              <w:end w:w="110" w:type="dxa"/>
            </w:tcMar>
          </w:tcPr>
          <w:p>
            <w:pPr>
              <w:spacing w:after="0" w:line="240" w:lineRule="auto"/>
            </w:pPr>
            <w:r>
              <w:rPr>
                <w:rFonts w:ascii="Aptos" w:hAnsi="Aptos"/>
                <w:color w:val="000000"/>
                <w:sz w:val="16"/>
              </w:rPr>
              <w:t>Evaluate separately on public data and team-authored banking attacks; report the performance gap.</w:t>
            </w:r>
          </w:p>
        </w:tc>
      </w:tr>
      <w:tr>
        <w:tc>
          <w:tcPr>
            <w:tcW w:type="dxa" w:w="208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Class imbalance</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Accuracy hides poor detection of rare toxic or jailbreak cases.</w:t>
            </w:r>
          </w:p>
        </w:tc>
        <w:tc>
          <w:tcPr>
            <w:tcW w:type="dxa" w:w="4104"/>
            <w:vAlign w:val="center"/>
            <w:tcMar>
              <w:top w:w="90" w:type="dxa"/>
              <w:start w:w="110" w:type="dxa"/>
              <w:bottom w:w="90" w:type="dxa"/>
              <w:end w:w="110" w:type="dxa"/>
            </w:tcMar>
            <w:shd w:fill="F5F9FC"/>
          </w:tcPr>
          <w:p>
            <w:pPr>
              <w:spacing w:after="0" w:line="240" w:lineRule="auto"/>
            </w:pPr>
            <w:r>
              <w:rPr>
                <w:rFonts w:ascii="Aptos" w:hAnsi="Aptos"/>
                <w:color w:val="000000"/>
                <w:sz w:val="16"/>
              </w:rPr>
              <w:t>Use precision, recall, F1, class-level results, and appropriate sampling or weighting.</w:t>
            </w:r>
          </w:p>
        </w:tc>
      </w:tr>
      <w:tr>
        <w:tc>
          <w:tcPr>
            <w:tcW w:type="dxa" w:w="2088"/>
            <w:vAlign w:val="center"/>
            <w:tcMar>
              <w:top w:w="90" w:type="dxa"/>
              <w:start w:w="110" w:type="dxa"/>
              <w:bottom w:w="90" w:type="dxa"/>
              <w:end w:w="110" w:type="dxa"/>
            </w:tcMar>
          </w:tcPr>
          <w:p>
            <w:pPr>
              <w:spacing w:after="0" w:line="240" w:lineRule="auto"/>
            </w:pPr>
            <w:r>
              <w:rPr>
                <w:rFonts w:ascii="Aptos" w:hAnsi="Aptos"/>
                <w:color w:val="000000"/>
                <w:sz w:val="16"/>
              </w:rPr>
              <w:t>Incorrect cache reuse</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A semantically close but different request receives the wrong answer.</w:t>
            </w:r>
          </w:p>
        </w:tc>
        <w:tc>
          <w:tcPr>
            <w:tcW w:type="dxa" w:w="4104"/>
            <w:vAlign w:val="center"/>
            <w:tcMar>
              <w:top w:w="90" w:type="dxa"/>
              <w:start w:w="110" w:type="dxa"/>
              <w:bottom w:w="90" w:type="dxa"/>
              <w:end w:w="110" w:type="dxa"/>
            </w:tcMar>
          </w:tcPr>
          <w:p>
            <w:pPr>
              <w:spacing w:after="0" w:line="240" w:lineRule="auto"/>
            </w:pPr>
            <w:r>
              <w:rPr>
                <w:rFonts w:ascii="Aptos" w:hAnsi="Aptos"/>
                <w:color w:val="000000"/>
                <w:sz w:val="16"/>
              </w:rPr>
              <w:t>Optimize for cache precision, use intent labels, apply thresholds and time-to-live rules, and exclude sensitive intents.</w:t>
            </w:r>
          </w:p>
        </w:tc>
      </w:tr>
      <w:tr>
        <w:tc>
          <w:tcPr>
            <w:tcW w:type="dxa" w:w="2088"/>
            <w:vAlign w:val="center"/>
            <w:tcMar>
              <w:top w:w="90" w:type="dxa"/>
              <w:start w:w="110" w:type="dxa"/>
              <w:bottom w:w="90" w:type="dxa"/>
              <w:end w:w="110" w:type="dxa"/>
            </w:tcMar>
            <w:shd w:fill="F5F9FC"/>
          </w:tcPr>
          <w:p>
            <w:pPr>
              <w:spacing w:after="0" w:line="240" w:lineRule="auto"/>
            </w:pPr>
            <w:r>
              <w:rPr>
                <w:rFonts w:ascii="Aptos" w:hAnsi="Aptos"/>
                <w:color w:val="000000"/>
                <w:sz w:val="16"/>
              </w:rPr>
              <w:t>Stale cache response</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Previously valid information becomes outdated.</w:t>
            </w:r>
          </w:p>
        </w:tc>
        <w:tc>
          <w:tcPr>
            <w:tcW w:type="dxa" w:w="4104"/>
            <w:vAlign w:val="center"/>
            <w:tcMar>
              <w:top w:w="90" w:type="dxa"/>
              <w:start w:w="110" w:type="dxa"/>
              <w:bottom w:w="90" w:type="dxa"/>
              <w:end w:w="110" w:type="dxa"/>
            </w:tcMar>
            <w:shd w:fill="F5F9FC"/>
          </w:tcPr>
          <w:p>
            <w:pPr>
              <w:spacing w:after="0" w:line="240" w:lineRule="auto"/>
            </w:pPr>
            <w:r>
              <w:rPr>
                <w:rFonts w:ascii="Aptos" w:hAnsi="Aptos"/>
                <w:color w:val="000000"/>
                <w:sz w:val="16"/>
              </w:rPr>
              <w:t>Assign time-to-live by intent and create a never-cache category.</w:t>
            </w:r>
          </w:p>
        </w:tc>
      </w:tr>
      <w:tr>
        <w:tc>
          <w:tcPr>
            <w:tcW w:type="dxa" w:w="2088"/>
            <w:vAlign w:val="center"/>
            <w:tcMar>
              <w:top w:w="90" w:type="dxa"/>
              <w:start w:w="110" w:type="dxa"/>
              <w:bottom w:w="90" w:type="dxa"/>
              <w:end w:w="110" w:type="dxa"/>
            </w:tcMar>
          </w:tcPr>
          <w:p>
            <w:pPr>
              <w:spacing w:after="0" w:line="240" w:lineRule="auto"/>
            </w:pPr>
            <w:r>
              <w:rPr>
                <w:rFonts w:ascii="Aptos" w:hAnsi="Aptos"/>
                <w:color w:val="000000"/>
                <w:sz w:val="16"/>
              </w:rPr>
              <w:t>Sensitive data leakage</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Personal information reaches models, cache, logs, or dashboard.</w:t>
            </w:r>
          </w:p>
        </w:tc>
        <w:tc>
          <w:tcPr>
            <w:tcW w:type="dxa" w:w="4104"/>
            <w:vAlign w:val="center"/>
            <w:tcMar>
              <w:top w:w="90" w:type="dxa"/>
              <w:start w:w="110" w:type="dxa"/>
              <w:bottom w:w="90" w:type="dxa"/>
              <w:end w:w="110" w:type="dxa"/>
            </w:tcMar>
          </w:tcPr>
          <w:p>
            <w:pPr>
              <w:spacing w:after="0" w:line="240" w:lineRule="auto"/>
            </w:pPr>
            <w:r>
              <w:rPr>
                <w:rFonts w:ascii="Aptos" w:hAnsi="Aptos"/>
                <w:color w:val="000000"/>
                <w:sz w:val="16"/>
              </w:rPr>
              <w:t>Mask before downstream stages and test every output surface.</w:t>
            </w:r>
          </w:p>
        </w:tc>
      </w:tr>
      <w:tr>
        <w:tc>
          <w:tcPr>
            <w:tcW w:type="dxa" w:w="208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Policy ambiguity</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Rules are inconsistent or difficult to explain.</w:t>
            </w:r>
          </w:p>
        </w:tc>
        <w:tc>
          <w:tcPr>
            <w:tcW w:type="dxa" w:w="4104"/>
            <w:vAlign w:val="center"/>
            <w:tcMar>
              <w:top w:w="90" w:type="dxa"/>
              <w:start w:w="110" w:type="dxa"/>
              <w:bottom w:w="90" w:type="dxa"/>
              <w:end w:w="110" w:type="dxa"/>
            </w:tcMar>
            <w:shd w:fill="F5F9FC"/>
          </w:tcPr>
          <w:p>
            <w:pPr>
              <w:spacing w:after="0" w:line="240" w:lineRule="auto"/>
            </w:pPr>
            <w:r>
              <w:rPr>
                <w:rFonts w:ascii="Aptos" w:hAnsi="Aptos"/>
                <w:color w:val="000000"/>
                <w:sz w:val="16"/>
              </w:rPr>
              <w:t>Use versioned configuration, named rules, explicit outcomes, and human-readable reasons.</w:t>
            </w:r>
          </w:p>
        </w:tc>
      </w:tr>
      <w:tr>
        <w:tc>
          <w:tcPr>
            <w:tcW w:type="dxa" w:w="2088"/>
            <w:vAlign w:val="center"/>
            <w:tcMar>
              <w:top w:w="90" w:type="dxa"/>
              <w:start w:w="110" w:type="dxa"/>
              <w:bottom w:w="90" w:type="dxa"/>
              <w:end w:w="110" w:type="dxa"/>
            </w:tcMar>
          </w:tcPr>
          <w:p>
            <w:pPr>
              <w:spacing w:after="0" w:line="240" w:lineRule="auto"/>
            </w:pPr>
            <w:r>
              <w:rPr>
                <w:rFonts w:ascii="Aptos" w:hAnsi="Aptos"/>
                <w:color w:val="000000"/>
                <w:sz w:val="16"/>
              </w:rPr>
              <w:t>Cost claim overstatement</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Simulated savings are presented as realized financial benefit.</w:t>
            </w:r>
          </w:p>
        </w:tc>
        <w:tc>
          <w:tcPr>
            <w:tcW w:type="dxa" w:w="4104"/>
            <w:vAlign w:val="center"/>
            <w:tcMar>
              <w:top w:w="90" w:type="dxa"/>
              <w:start w:w="110" w:type="dxa"/>
              <w:bottom w:w="90" w:type="dxa"/>
              <w:end w:w="110" w:type="dxa"/>
            </w:tcMar>
          </w:tcPr>
          <w:p>
            <w:pPr>
              <w:spacing w:after="0" w:line="240" w:lineRule="auto"/>
            </w:pPr>
            <w:r>
              <w:rPr>
                <w:rFonts w:ascii="Aptos" w:hAnsi="Aptos"/>
                <w:color w:val="000000"/>
                <w:sz w:val="16"/>
              </w:rPr>
              <w:t>Label estimates, publish price assumptions, and compare against a defined baseline.</w:t>
            </w:r>
          </w:p>
        </w:tc>
      </w:tr>
      <w:tr>
        <w:tc>
          <w:tcPr>
            <w:tcW w:type="dxa" w:w="2088"/>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Schedule pressure</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The team finishes components but lacks an integrated demonstration.</w:t>
            </w:r>
          </w:p>
        </w:tc>
        <w:tc>
          <w:tcPr>
            <w:tcW w:type="dxa" w:w="4104"/>
            <w:vAlign w:val="center"/>
            <w:tcMar>
              <w:top w:w="90" w:type="dxa"/>
              <w:start w:w="110" w:type="dxa"/>
              <w:bottom w:w="90" w:type="dxa"/>
              <w:end w:w="110" w:type="dxa"/>
            </w:tcMar>
            <w:shd w:fill="F5F9FC"/>
          </w:tcPr>
          <w:p>
            <w:pPr>
              <w:spacing w:after="0" w:line="240" w:lineRule="auto"/>
            </w:pPr>
            <w:r>
              <w:rPr>
                <w:rFonts w:ascii="Aptos" w:hAnsi="Aptos"/>
                <w:color w:val="000000"/>
                <w:sz w:val="16"/>
              </w:rPr>
              <w:t>Deliver a simple end-to-end pipeline first; freeze new features after November 20.</w:t>
            </w:r>
          </w:p>
        </w:tc>
      </w:tr>
      <w:tr>
        <w:tc>
          <w:tcPr>
            <w:tcW w:type="dxa" w:w="2088"/>
            <w:vAlign w:val="center"/>
            <w:tcMar>
              <w:top w:w="90" w:type="dxa"/>
              <w:start w:w="110" w:type="dxa"/>
              <w:bottom w:w="90" w:type="dxa"/>
              <w:end w:w="110" w:type="dxa"/>
            </w:tcMar>
          </w:tcPr>
          <w:p>
            <w:pPr>
              <w:spacing w:after="0" w:line="240" w:lineRule="auto"/>
              <w:jc w:val="center"/>
            </w:pPr>
            <w:r>
              <w:rPr>
                <w:rFonts w:ascii="Aptos" w:hAnsi="Aptos"/>
                <w:color w:val="000000"/>
                <w:sz w:val="16"/>
              </w:rPr>
              <w:t>Scope expansion</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Stretch goals reduce quality of core evaluation.</w:t>
            </w:r>
          </w:p>
        </w:tc>
        <w:tc>
          <w:tcPr>
            <w:tcW w:type="dxa" w:w="4104"/>
            <w:vAlign w:val="center"/>
            <w:tcMar>
              <w:top w:w="90" w:type="dxa"/>
              <w:start w:w="110" w:type="dxa"/>
              <w:bottom w:w="90" w:type="dxa"/>
              <w:end w:w="110" w:type="dxa"/>
            </w:tcMar>
          </w:tcPr>
          <w:p>
            <w:pPr>
              <w:spacing w:after="0" w:line="240" w:lineRule="auto"/>
            </w:pPr>
            <w:r>
              <w:rPr>
                <w:rFonts w:ascii="Aptos" w:hAnsi="Aptos"/>
                <w:color w:val="000000"/>
                <w:sz w:val="16"/>
              </w:rPr>
              <w:t>Protect safety evaluation and cache correctness; defer prompt compression first if needed, then simplify routing.</w:t>
            </w:r>
          </w:p>
        </w:tc>
      </w:tr>
      <w:tr>
        <w:tc>
          <w:tcPr>
            <w:tcW w:type="dxa" w:w="2088"/>
            <w:vAlign w:val="center"/>
            <w:tcMar>
              <w:top w:w="90" w:type="dxa"/>
              <w:start w:w="110" w:type="dxa"/>
              <w:bottom w:w="90" w:type="dxa"/>
              <w:end w:w="110" w:type="dxa"/>
            </w:tcMar>
            <w:shd w:fill="F5F9FC"/>
          </w:tcPr>
          <w:p>
            <w:pPr>
              <w:spacing w:after="0" w:line="240" w:lineRule="auto"/>
            </w:pPr>
            <w:r>
              <w:rPr>
                <w:rFonts w:ascii="Aptos" w:hAnsi="Aptos"/>
                <w:color w:val="000000"/>
                <w:sz w:val="16"/>
              </w:rPr>
              <w:t>Dataset or license constraint</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A dataset cannot be redistributed or used as planned.</w:t>
            </w:r>
          </w:p>
        </w:tc>
        <w:tc>
          <w:tcPr>
            <w:tcW w:type="dxa" w:w="4104"/>
            <w:vAlign w:val="center"/>
            <w:tcMar>
              <w:top w:w="90" w:type="dxa"/>
              <w:start w:w="110" w:type="dxa"/>
              <w:bottom w:w="90" w:type="dxa"/>
              <w:end w:w="110" w:type="dxa"/>
            </w:tcMar>
            <w:shd w:fill="F5F9FC"/>
          </w:tcPr>
          <w:p>
            <w:pPr>
              <w:spacing w:after="0" w:line="240" w:lineRule="auto"/>
            </w:pPr>
            <w:r>
              <w:rPr>
                <w:rFonts w:ascii="Aptos" w:hAnsi="Aptos"/>
                <w:color w:val="000000"/>
                <w:sz w:val="16"/>
              </w:rPr>
              <w:t>Maintain a dataset register and load data from documented sources rather than committing restricted content.</w:t>
            </w:r>
          </w:p>
        </w:tc>
      </w:tr>
    </w:tbl>
    <w:p>
      <w:pPr>
        <w:spacing w:after="20"/>
        <w:widowControl/>
      </w:pPr>
    </w:p>
    <w:p>
      <w:pPr>
        <w:pStyle w:val="Heading2"/>
      </w:pPr>
      <w:r>
        <w:t>Issue escalation</w:t>
      </w:r>
    </w:p>
    <w:p>
      <w:pPr>
        <w:keepLines w:val="0"/>
        <w:widowControl/>
      </w:pPr>
      <w:r>
        <w:rPr>
          <w:rFonts w:ascii="Aptos" w:hAnsi="Aptos"/>
          <w:i w:val="0"/>
          <w:color w:val="000000"/>
        </w:rPr>
        <w:t>The team should raise scope, data-access, compute, licensing, policy, or metric changes at the next advisor check-in. A change that alters a must-have requirement, test set, target metric, or demonstration claim should be recorded in the project decision log and reflected in this BRD.</w:t>
      </w:r>
    </w:p>
    <w:p>
      <w:pPr>
        <w:widowControl/>
      </w:pPr>
      <w:r>
        <w:br w:type="page"/>
      </w:r>
    </w:p>
    <w:p>
      <w:pPr>
        <w:pStyle w:val="Heading1"/>
      </w:pPr>
      <w:r>
        <w:t>Open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893"/>
            <w:shd w:fill="18324A"/>
            <w:tcMar>
              <w:top w:w="90" w:type="dxa"/>
              <w:start w:w="110" w:type="dxa"/>
              <w:bottom w:w="90" w:type="dxa"/>
              <w:end w:w="110" w:type="dxa"/>
            </w:tcMar>
            <w:vAlign w:val="center"/>
          </w:tcPr>
          <w:p>
            <w:pPr>
              <w:spacing w:after="0"/>
              <w:jc w:val="center"/>
            </w:pPr>
            <w:r>
              <w:rPr>
                <w:rFonts w:ascii="Aptos" w:hAnsi="Aptos"/>
                <w:b/>
                <w:color w:val="FFFFFF"/>
                <w:sz w:val="17"/>
              </w:rPr>
              <w:t>ID</w:t>
            </w:r>
          </w:p>
        </w:tc>
        <w:tc>
          <w:tcPr>
            <w:tcW w:type="dxa" w:w="5112"/>
            <w:shd w:fill="18324A"/>
            <w:tcMar>
              <w:top w:w="90" w:type="dxa"/>
              <w:start w:w="110" w:type="dxa"/>
              <w:bottom w:w="90" w:type="dxa"/>
              <w:end w:w="110" w:type="dxa"/>
            </w:tcMar>
            <w:vAlign w:val="center"/>
          </w:tcPr>
          <w:p>
            <w:pPr>
              <w:spacing w:after="0"/>
              <w:jc w:val="center"/>
            </w:pPr>
            <w:r>
              <w:rPr>
                <w:rFonts w:ascii="Aptos" w:hAnsi="Aptos"/>
                <w:b/>
                <w:color w:val="FFFFFF"/>
                <w:sz w:val="17"/>
              </w:rPr>
              <w:t>Decision required</w:t>
            </w:r>
          </w:p>
        </w:tc>
        <w:tc>
          <w:tcPr>
            <w:tcW w:type="dxa" w:w="1944"/>
            <w:shd w:fill="18324A"/>
            <w:tcMar>
              <w:top w:w="90" w:type="dxa"/>
              <w:start w:w="110" w:type="dxa"/>
              <w:bottom w:w="90" w:type="dxa"/>
              <w:end w:w="110" w:type="dxa"/>
            </w:tcMar>
            <w:vAlign w:val="center"/>
          </w:tcPr>
          <w:p>
            <w:pPr>
              <w:spacing w:after="0"/>
              <w:jc w:val="center"/>
            </w:pPr>
            <w:r>
              <w:rPr>
                <w:rFonts w:ascii="Aptos" w:hAnsi="Aptos"/>
                <w:b/>
                <w:color w:val="FFFFFF"/>
                <w:sz w:val="17"/>
              </w:rPr>
              <w:t>Owner</w:t>
            </w:r>
          </w:p>
        </w:tc>
        <w:tc>
          <w:tcPr>
            <w:tcW w:type="dxa" w:w="1440"/>
            <w:shd w:fill="18324A"/>
            <w:tcMar>
              <w:top w:w="90" w:type="dxa"/>
              <w:start w:w="110" w:type="dxa"/>
              <w:bottom w:w="90" w:type="dxa"/>
              <w:end w:w="110" w:type="dxa"/>
            </w:tcMar>
            <w:vAlign w:val="center"/>
          </w:tcPr>
          <w:p>
            <w:pPr>
              <w:spacing w:after="0"/>
              <w:jc w:val="center"/>
            </w:pPr>
            <w:r>
              <w:rPr>
                <w:rFonts w:ascii="Aptos" w:hAnsi="Aptos"/>
                <w:b/>
                <w:color w:val="FFFFFF"/>
                <w:sz w:val="17"/>
              </w:rPr>
              <w:t>Target date</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01</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Approve retail banking as the project domain or retain a broader regulated customer service scope.</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Advisor and team</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Before scope freeze</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02</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Approve a fine-tuned lightweight classifier as the primary gate and define the reference baseline.</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Advisor and safety team</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model development</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03</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Approve the policy taxonomy and definitions for ALLOW, BLOCK, and ESCALATE.</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Advisor and safety team</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Before policy evaluation</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04</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Decide how ToxicChat human_annotation is used for training and evaluation.</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Safety team</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dataset split</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05</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Approve the banking attack-set taxonomy, authorship process, and held-out evaluation split.</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Safety team and advisor</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Before attack creation</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06</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Approve the decision record schema and rules for prompt retention or redaction.</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Whole team</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component build</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07</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Define supported personal data patterns and expected masking behavior.</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Safety and infrastructure</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Before privacy tests</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08</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Define cacheable, short-lived, and never-cache categories for the 77 intents.</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Cost and safety teams</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cache evaluation</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09</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Set cache threshold selection criteria and minimum acceptable precision.</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Cost team and advisor</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Before dashboard freeze</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10</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Define model tiers, routing criteria, price assumptions, and baseline cost scenario.</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Cost team</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workload run</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11</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Decide whether prompt optimization remains in the committed scope.</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Whole team</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At October review</w:t>
            </w:r>
          </w:p>
        </w:tc>
      </w:tr>
      <w:tr>
        <w:tc>
          <w:tcPr>
            <w:tcW w:type="dxa" w:w="893"/>
            <w:vAlign w:val="center"/>
            <w:tcMar>
              <w:top w:w="90" w:type="dxa"/>
              <w:start w:w="110" w:type="dxa"/>
              <w:bottom w:w="90" w:type="dxa"/>
              <w:end w:w="110" w:type="dxa"/>
            </w:tcMar>
            <w:shd w:fill="F5F9FC"/>
          </w:tcPr>
          <w:p>
            <w:pPr>
              <w:spacing w:after="0" w:line="240" w:lineRule="auto"/>
              <w:jc w:val="center"/>
            </w:pPr>
            <w:r>
              <w:rPr>
                <w:rFonts w:ascii="Aptos" w:hAnsi="Aptos"/>
                <w:color w:val="000000"/>
                <w:sz w:val="16"/>
              </w:rPr>
              <w:t>OD 12</w:t>
            </w:r>
          </w:p>
        </w:tc>
        <w:tc>
          <w:tcPr>
            <w:tcW w:type="dxa" w:w="5112"/>
            <w:vAlign w:val="center"/>
            <w:tcMar>
              <w:top w:w="90" w:type="dxa"/>
              <w:start w:w="110" w:type="dxa"/>
              <w:bottom w:w="90" w:type="dxa"/>
              <w:end w:w="110" w:type="dxa"/>
            </w:tcMar>
            <w:shd w:fill="F5F9FC"/>
          </w:tcPr>
          <w:p>
            <w:pPr>
              <w:spacing w:after="0" w:line="240" w:lineRule="auto"/>
            </w:pPr>
            <w:r>
              <w:rPr>
                <w:rFonts w:ascii="Aptos" w:hAnsi="Aptos"/>
                <w:color w:val="000000"/>
                <w:sz w:val="16"/>
              </w:rPr>
              <w:t>Confirm GPU or notebook access for fine-tuning.</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6"/>
              </w:rPr>
              <w:t>Whole team and coach</w:t>
            </w:r>
          </w:p>
        </w:tc>
        <w:tc>
          <w:tcPr>
            <w:tcW w:type="dxa" w:w="1440"/>
            <w:vAlign w:val="center"/>
            <w:tcMar>
              <w:top w:w="90" w:type="dxa"/>
              <w:start w:w="110" w:type="dxa"/>
              <w:bottom w:w="90" w:type="dxa"/>
              <w:end w:w="110" w:type="dxa"/>
            </w:tcMar>
            <w:shd w:fill="F5F9FC"/>
          </w:tcPr>
          <w:p>
            <w:pPr>
              <w:spacing w:after="0" w:line="240" w:lineRule="auto"/>
            </w:pPr>
            <w:r>
              <w:rPr>
                <w:rFonts w:ascii="Aptos" w:hAnsi="Aptos"/>
                <w:color w:val="000000"/>
                <w:sz w:val="16"/>
              </w:rPr>
              <w:t>Before fine-tuning</w:t>
            </w:r>
          </w:p>
        </w:tc>
      </w:tr>
      <w:tr>
        <w:tc>
          <w:tcPr>
            <w:tcW w:type="dxa" w:w="893"/>
            <w:vAlign w:val="center"/>
            <w:tcMar>
              <w:top w:w="90" w:type="dxa"/>
              <w:start w:w="110" w:type="dxa"/>
              <w:bottom w:w="90" w:type="dxa"/>
              <w:end w:w="110" w:type="dxa"/>
            </w:tcMar>
          </w:tcPr>
          <w:p>
            <w:pPr>
              <w:spacing w:after="0" w:line="240" w:lineRule="auto"/>
              <w:jc w:val="center"/>
            </w:pPr>
            <w:r>
              <w:rPr>
                <w:rFonts w:ascii="Aptos" w:hAnsi="Aptos"/>
                <w:color w:val="000000"/>
                <w:sz w:val="16"/>
              </w:rPr>
              <w:t>OD 13</w:t>
            </w:r>
          </w:p>
        </w:tc>
        <w:tc>
          <w:tcPr>
            <w:tcW w:type="dxa" w:w="5112"/>
            <w:vAlign w:val="center"/>
            <w:tcMar>
              <w:top w:w="90" w:type="dxa"/>
              <w:start w:w="110" w:type="dxa"/>
              <w:bottom w:w="90" w:type="dxa"/>
              <w:end w:w="110" w:type="dxa"/>
            </w:tcMar>
          </w:tcPr>
          <w:p>
            <w:pPr>
              <w:spacing w:after="0" w:line="240" w:lineRule="auto"/>
            </w:pPr>
            <w:r>
              <w:rPr>
                <w:rFonts w:ascii="Aptos" w:hAnsi="Aptos"/>
                <w:color w:val="000000"/>
                <w:sz w:val="16"/>
              </w:rPr>
              <w:t>Select zero, one, or two stretch goals only after core requirements are on track.</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6"/>
              </w:rPr>
              <w:t>Advisor and team</w:t>
            </w:r>
          </w:p>
        </w:tc>
        <w:tc>
          <w:tcPr>
            <w:tcW w:type="dxa" w:w="1440"/>
            <w:vAlign w:val="center"/>
            <w:tcMar>
              <w:top w:w="90" w:type="dxa"/>
              <w:start w:w="110" w:type="dxa"/>
              <w:bottom w:w="90" w:type="dxa"/>
              <w:end w:w="110" w:type="dxa"/>
            </w:tcMar>
          </w:tcPr>
          <w:p>
            <w:pPr>
              <w:spacing w:after="0" w:line="240" w:lineRule="auto"/>
            </w:pPr>
            <w:r>
              <w:rPr>
                <w:rFonts w:ascii="Aptos" w:hAnsi="Aptos"/>
                <w:color w:val="000000"/>
                <w:sz w:val="16"/>
              </w:rPr>
              <w:t>After core prototype</w:t>
            </w:r>
          </w:p>
        </w:tc>
      </w:tr>
    </w:tbl>
    <w:p>
      <w:pPr>
        <w:spacing w:after="20"/>
        <w:widowControl/>
      </w:pPr>
    </w:p>
    <w:p>
      <w:pPr>
        <w:widowControl/>
      </w:pPr>
      <w:r>
        <w:br w:type="page"/>
      </w:r>
    </w:p>
    <w:p>
      <w:pPr>
        <w:pStyle w:val="Heading1"/>
      </w:pPr>
      <w:r>
        <w:t>Approval criteria</w:t>
      </w:r>
    </w:p>
    <w:p>
      <w:pPr>
        <w:keepLines w:val="0"/>
        <w:widowControl/>
      </w:pPr>
      <w:r>
        <w:rPr>
          <w:rFonts w:ascii="Aptos" w:hAnsi="Aptos"/>
          <w:i w:val="0"/>
          <w:color w:val="000000"/>
        </w:rPr>
        <w:t>This BRD becomes the delivery baseline when the team and advisor confirm the domain, must-have scope, evaluation measures, open decision owners, and December deliverables. Approval of this BRD does not represent legal, security, privacy, or production approval for bank use.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48"/>
            <w:shd w:fill="18324A"/>
            <w:tcMar>
              <w:top w:w="90" w:type="dxa"/>
              <w:start w:w="110" w:type="dxa"/>
              <w:bottom w:w="90" w:type="dxa"/>
              <w:end w:w="110" w:type="dxa"/>
            </w:tcMar>
            <w:vAlign w:val="center"/>
          </w:tcPr>
          <w:p>
            <w:pPr>
              <w:spacing w:after="0"/>
              <w:jc w:val="center"/>
            </w:pPr>
            <w:r>
              <w:rPr>
                <w:rFonts w:ascii="Aptos" w:hAnsi="Aptos"/>
                <w:b/>
                <w:color w:val="FFFFFF"/>
                <w:sz w:val="18"/>
              </w:rPr>
              <w:t>Approval role</w:t>
            </w:r>
          </w:p>
        </w:tc>
        <w:tc>
          <w:tcPr>
            <w:tcW w:type="dxa" w:w="3240"/>
            <w:shd w:fill="18324A"/>
            <w:tcMar>
              <w:top w:w="90" w:type="dxa"/>
              <w:start w:w="110" w:type="dxa"/>
              <w:bottom w:w="90" w:type="dxa"/>
              <w:end w:w="110" w:type="dxa"/>
            </w:tcMar>
            <w:vAlign w:val="center"/>
          </w:tcPr>
          <w:p>
            <w:pPr>
              <w:spacing w:after="0"/>
              <w:jc w:val="center"/>
            </w:pPr>
            <w:r>
              <w:rPr>
                <w:rFonts w:ascii="Aptos" w:hAnsi="Aptos"/>
                <w:b/>
                <w:color w:val="FFFFFF"/>
                <w:sz w:val="18"/>
              </w:rPr>
              <w:t>Name</w:t>
            </w:r>
          </w:p>
        </w:tc>
        <w:tc>
          <w:tcPr>
            <w:tcW w:type="dxa" w:w="1800"/>
            <w:shd w:fill="18324A"/>
            <w:tcMar>
              <w:top w:w="90" w:type="dxa"/>
              <w:start w:w="110" w:type="dxa"/>
              <w:bottom w:w="90" w:type="dxa"/>
              <w:end w:w="110" w:type="dxa"/>
            </w:tcMar>
            <w:vAlign w:val="center"/>
          </w:tcPr>
          <w:p>
            <w:pPr>
              <w:spacing w:after="0"/>
              <w:jc w:val="center"/>
            </w:pPr>
            <w:r>
              <w:rPr>
                <w:rFonts w:ascii="Aptos" w:hAnsi="Aptos"/>
                <w:b/>
                <w:color w:val="FFFFFF"/>
                <w:sz w:val="18"/>
              </w:rPr>
              <w:t>Decision</w:t>
            </w:r>
          </w:p>
        </w:tc>
        <w:tc>
          <w:tcPr>
            <w:tcW w:type="dxa" w:w="1944"/>
            <w:shd w:fill="18324A"/>
            <w:tcMar>
              <w:top w:w="90" w:type="dxa"/>
              <w:start w:w="110" w:type="dxa"/>
              <w:bottom w:w="90" w:type="dxa"/>
              <w:end w:w="110" w:type="dxa"/>
            </w:tcMar>
            <w:vAlign w:val="center"/>
          </w:tcPr>
          <w:p>
            <w:pPr>
              <w:spacing w:after="0"/>
              <w:jc w:val="center"/>
            </w:pPr>
            <w:r>
              <w:rPr>
                <w:rFonts w:ascii="Aptos" w:hAnsi="Aptos"/>
                <w:b/>
                <w:color w:val="FFFFFF"/>
                <w:sz w:val="18"/>
              </w:rPr>
              <w:t>Date</w:t>
            </w:r>
          </w:p>
        </w:tc>
      </w:tr>
      <w:tr>
        <w:tc>
          <w:tcPr>
            <w:tcW w:type="dxa" w:w="2448"/>
            <w:vAlign w:val="center"/>
            <w:tcMar>
              <w:top w:w="90" w:type="dxa"/>
              <w:start w:w="110" w:type="dxa"/>
              <w:bottom w:w="90" w:type="dxa"/>
              <w:end w:w="110" w:type="dxa"/>
            </w:tcMar>
          </w:tcPr>
          <w:p>
            <w:pPr>
              <w:spacing w:after="0" w:line="240" w:lineRule="auto"/>
              <w:jc w:val="center"/>
            </w:pPr>
            <w:r>
              <w:rPr>
                <w:rFonts w:ascii="Aptos" w:hAnsi="Aptos"/>
                <w:color w:val="000000"/>
                <w:sz w:val="17"/>
              </w:rPr>
              <w:t>Challenge advisor</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7"/>
              </w:rPr>
            </w:r>
          </w:p>
        </w:tc>
        <w:tc>
          <w:tcPr>
            <w:tcW w:type="dxa" w:w="1800"/>
            <w:vAlign w:val="center"/>
            <w:tcMar>
              <w:top w:w="90" w:type="dxa"/>
              <w:start w:w="110" w:type="dxa"/>
              <w:bottom w:w="90" w:type="dxa"/>
              <w:end w:w="110" w:type="dxa"/>
            </w:tcMar>
          </w:tcPr>
          <w:p>
            <w:pPr>
              <w:spacing w:after="0" w:line="240" w:lineRule="auto"/>
            </w:pPr>
            <w:r>
              <w:rPr>
                <w:rFonts w:ascii="Aptos" w:hAnsi="Aptos"/>
                <w:color w:val="000000"/>
                <w:sz w:val="17"/>
              </w:rPr>
              <w:t>Pending</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7"/>
              </w:rPr>
            </w:r>
          </w:p>
        </w:tc>
      </w:tr>
      <w:tr>
        <w:tc>
          <w:tcPr>
            <w:tcW w:type="dxa" w:w="2448"/>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AI Studio coach</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7"/>
              </w:rPr>
            </w:r>
          </w:p>
        </w:tc>
        <w:tc>
          <w:tcPr>
            <w:tcW w:type="dxa" w:w="1800"/>
            <w:vAlign w:val="center"/>
            <w:tcMar>
              <w:top w:w="90" w:type="dxa"/>
              <w:start w:w="110" w:type="dxa"/>
              <w:bottom w:w="90" w:type="dxa"/>
              <w:end w:w="110" w:type="dxa"/>
            </w:tcMar>
            <w:shd w:fill="F5F9FC"/>
          </w:tcPr>
          <w:p>
            <w:pPr>
              <w:spacing w:after="0" w:line="240" w:lineRule="auto"/>
            </w:pPr>
            <w:r>
              <w:rPr>
                <w:rFonts w:ascii="Aptos" w:hAnsi="Aptos"/>
                <w:color w:val="000000"/>
                <w:sz w:val="17"/>
              </w:rPr>
              <w:t>Pending</w:t>
            </w:r>
          </w:p>
        </w:tc>
        <w:tc>
          <w:tcPr>
            <w:tcW w:type="dxa" w:w="1944"/>
            <w:vAlign w:val="center"/>
            <w:tcMar>
              <w:top w:w="90" w:type="dxa"/>
              <w:start w:w="110" w:type="dxa"/>
              <w:bottom w:w="90" w:type="dxa"/>
              <w:end w:w="110" w:type="dxa"/>
            </w:tcMar>
            <w:shd w:fill="F5F9FC"/>
          </w:tcPr>
          <w:p>
            <w:pPr>
              <w:spacing w:after="0" w:line="240" w:lineRule="auto"/>
            </w:pPr>
            <w:r>
              <w:rPr>
                <w:rFonts w:ascii="Aptos" w:hAnsi="Aptos"/>
                <w:color w:val="000000"/>
                <w:sz w:val="17"/>
              </w:rPr>
            </w:r>
          </w:p>
        </w:tc>
      </w:tr>
      <w:tr>
        <w:tc>
          <w:tcPr>
            <w:tcW w:type="dxa" w:w="2448"/>
            <w:vAlign w:val="center"/>
            <w:tcMar>
              <w:top w:w="90" w:type="dxa"/>
              <w:start w:w="110" w:type="dxa"/>
              <w:bottom w:w="90" w:type="dxa"/>
              <w:end w:w="110" w:type="dxa"/>
            </w:tcMar>
          </w:tcPr>
          <w:p>
            <w:pPr>
              <w:spacing w:after="0" w:line="240" w:lineRule="auto"/>
            </w:pPr>
            <w:r>
              <w:rPr>
                <w:rFonts w:ascii="Aptos" w:hAnsi="Aptos"/>
                <w:color w:val="000000"/>
                <w:sz w:val="17"/>
              </w:rPr>
              <w:t>Team representative</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7"/>
              </w:rPr>
            </w:r>
          </w:p>
        </w:tc>
        <w:tc>
          <w:tcPr>
            <w:tcW w:type="dxa" w:w="1800"/>
            <w:vAlign w:val="center"/>
            <w:tcMar>
              <w:top w:w="90" w:type="dxa"/>
              <w:start w:w="110" w:type="dxa"/>
              <w:bottom w:w="90" w:type="dxa"/>
              <w:end w:w="110" w:type="dxa"/>
            </w:tcMar>
          </w:tcPr>
          <w:p>
            <w:pPr>
              <w:spacing w:after="0" w:line="240" w:lineRule="auto"/>
            </w:pPr>
            <w:r>
              <w:rPr>
                <w:rFonts w:ascii="Aptos" w:hAnsi="Aptos"/>
                <w:color w:val="000000"/>
                <w:sz w:val="17"/>
              </w:rPr>
              <w:t>Pending</w:t>
            </w:r>
          </w:p>
        </w:tc>
        <w:tc>
          <w:tcPr>
            <w:tcW w:type="dxa" w:w="1944"/>
            <w:vAlign w:val="center"/>
            <w:tcMar>
              <w:top w:w="90" w:type="dxa"/>
              <w:start w:w="110" w:type="dxa"/>
              <w:bottom w:w="90" w:type="dxa"/>
              <w:end w:w="110" w:type="dxa"/>
            </w:tcMar>
          </w:tcPr>
          <w:p>
            <w:pPr>
              <w:spacing w:after="0" w:line="240" w:lineRule="auto"/>
            </w:pPr>
            <w:r>
              <w:rPr>
                <w:rFonts w:ascii="Aptos" w:hAnsi="Aptos"/>
                <w:color w:val="000000"/>
                <w:sz w:val="17"/>
              </w:rPr>
            </w:r>
          </w:p>
        </w:tc>
      </w:tr>
    </w:tbl>
    <w:p>
      <w:pPr>
        <w:spacing w:after="20"/>
        <w:widowControl/>
      </w:pPr>
    </w:p>
    <w:p>
      <w:pPr>
        <w:pStyle w:val="Heading1"/>
      </w:pPr>
      <w:r>
        <w:t>Traceability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8324A"/>
            <w:tcMar>
              <w:top w:w="90" w:type="dxa"/>
              <w:start w:w="110" w:type="dxa"/>
              <w:bottom w:w="90" w:type="dxa"/>
              <w:end w:w="110" w:type="dxa"/>
            </w:tcMar>
            <w:vAlign w:val="center"/>
          </w:tcPr>
          <w:p>
            <w:pPr>
              <w:spacing w:after="0"/>
              <w:jc w:val="center"/>
            </w:pPr>
            <w:r>
              <w:rPr>
                <w:rFonts w:ascii="Aptos" w:hAnsi="Aptos"/>
                <w:b/>
                <w:color w:val="FFFFFF"/>
                <w:sz w:val="17"/>
              </w:rPr>
              <w:t>Business objective</w:t>
            </w:r>
          </w:p>
        </w:tc>
        <w:tc>
          <w:tcPr>
            <w:tcW w:type="dxa" w:w="3960"/>
            <w:shd w:fill="18324A"/>
            <w:tcMar>
              <w:top w:w="90" w:type="dxa"/>
              <w:start w:w="110" w:type="dxa"/>
              <w:bottom w:w="90" w:type="dxa"/>
              <w:end w:w="110" w:type="dxa"/>
            </w:tcMar>
            <w:vAlign w:val="center"/>
          </w:tcPr>
          <w:p>
            <w:pPr>
              <w:spacing w:after="0"/>
              <w:jc w:val="center"/>
            </w:pPr>
            <w:r>
              <w:rPr>
                <w:rFonts w:ascii="Aptos" w:hAnsi="Aptos"/>
                <w:b/>
                <w:color w:val="FFFFFF"/>
                <w:sz w:val="17"/>
              </w:rPr>
              <w:t>Supporting requirements</w:t>
            </w:r>
          </w:p>
        </w:tc>
        <w:tc>
          <w:tcPr>
            <w:tcW w:type="dxa" w:w="3240"/>
            <w:shd w:fill="18324A"/>
            <w:tcMar>
              <w:top w:w="90" w:type="dxa"/>
              <w:start w:w="110" w:type="dxa"/>
              <w:bottom w:w="90" w:type="dxa"/>
              <w:end w:w="110" w:type="dxa"/>
            </w:tcMar>
            <w:vAlign w:val="center"/>
          </w:tcPr>
          <w:p>
            <w:pPr>
              <w:spacing w:after="0"/>
              <w:jc w:val="center"/>
            </w:pPr>
            <w:r>
              <w:rPr>
                <w:rFonts w:ascii="Aptos" w:hAnsi="Aptos"/>
                <w:b/>
                <w:color w:val="FFFFFF"/>
                <w:sz w:val="17"/>
              </w:rPr>
              <w:t>Evidence</w:t>
            </w:r>
          </w:p>
        </w:tc>
      </w:tr>
      <w:tr>
        <w:tc>
          <w:tcPr>
            <w:tcW w:type="dxa" w:w="2232"/>
            <w:vAlign w:val="center"/>
            <w:tcMar>
              <w:top w:w="90" w:type="dxa"/>
              <w:start w:w="110" w:type="dxa"/>
              <w:bottom w:w="90" w:type="dxa"/>
              <w:end w:w="110" w:type="dxa"/>
            </w:tcMar>
          </w:tcPr>
          <w:p>
            <w:pPr>
              <w:spacing w:after="0" w:line="240" w:lineRule="auto"/>
            </w:pPr>
            <w:r>
              <w:rPr>
                <w:rFonts w:ascii="Aptos" w:hAnsi="Aptos"/>
                <w:color w:val="000000"/>
                <w:sz w:val="16"/>
              </w:rPr>
              <w:t>BO 01 Safety and governance</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FR 03 to FR 08, FR 19, FR 23, NFR 03, NFR 07</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Safety metrics, privacy tests, policy scenarios, easy and hard test split.</w:t>
            </w:r>
          </w:p>
        </w:tc>
      </w:tr>
      <w:tr>
        <w:tc>
          <w:tcPr>
            <w:tcW w:type="dxa" w:w="2232"/>
            <w:vAlign w:val="center"/>
            <w:tcMar>
              <w:top w:w="90" w:type="dxa"/>
              <w:start w:w="110" w:type="dxa"/>
              <w:bottom w:w="90" w:type="dxa"/>
              <w:end w:w="110" w:type="dxa"/>
            </w:tcMar>
            <w:shd w:fill="F5F9FC"/>
          </w:tcPr>
          <w:p>
            <w:pPr>
              <w:spacing w:after="0" w:line="240" w:lineRule="auto"/>
            </w:pPr>
            <w:r>
              <w:rPr>
                <w:rFonts w:ascii="Aptos" w:hAnsi="Aptos"/>
                <w:color w:val="000000"/>
                <w:sz w:val="16"/>
              </w:rPr>
              <w:t>BO 02 Token reduction</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FR 13, FR 14, FR 23</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Original and processed token counts, eligibility rate, quality review.</w:t>
            </w:r>
          </w:p>
        </w:tc>
      </w:tr>
      <w:tr>
        <w:tc>
          <w:tcPr>
            <w:tcW w:type="dxa" w:w="2232"/>
            <w:vAlign w:val="center"/>
            <w:tcMar>
              <w:top w:w="90" w:type="dxa"/>
              <w:start w:w="110" w:type="dxa"/>
              <w:bottom w:w="90" w:type="dxa"/>
              <w:end w:w="110" w:type="dxa"/>
            </w:tcMar>
          </w:tcPr>
          <w:p>
            <w:pPr>
              <w:spacing w:after="0" w:line="240" w:lineRule="auto"/>
            </w:pPr>
            <w:r>
              <w:rPr>
                <w:rFonts w:ascii="Aptos" w:hAnsi="Aptos"/>
                <w:color w:val="000000"/>
                <w:sz w:val="16"/>
              </w:rPr>
              <w:t>BO 03 Cost efficiency</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FR 08 to FR 15, FR 18, NFR 01</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Governed versus all-highest-tier workload comparison.</w:t>
            </w:r>
          </w:p>
        </w:tc>
      </w:tr>
      <w:tr>
        <w:tc>
          <w:tcPr>
            <w:tcW w:type="dxa" w:w="2232"/>
            <w:vAlign w:val="center"/>
            <w:tcMar>
              <w:top w:w="90" w:type="dxa"/>
              <w:start w:w="110" w:type="dxa"/>
              <w:bottom w:w="90" w:type="dxa"/>
              <w:end w:w="110" w:type="dxa"/>
            </w:tcMar>
            <w:shd w:fill="F5F9FC"/>
          </w:tcPr>
          <w:p>
            <w:pPr>
              <w:spacing w:after="0" w:line="240" w:lineRule="auto"/>
            </w:pPr>
            <w:r>
              <w:rPr>
                <w:rFonts w:ascii="Aptos" w:hAnsi="Aptos"/>
                <w:color w:val="000000"/>
                <w:sz w:val="16"/>
              </w:rPr>
              <w:t>BO 04 Cache effectiveness</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FR 09 to FR 11, FR 20, FR 23</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Hit rate, precision, recall, threshold curve, TTL policy.</w:t>
            </w:r>
          </w:p>
        </w:tc>
      </w:tr>
      <w:tr>
        <w:tc>
          <w:tcPr>
            <w:tcW w:type="dxa" w:w="2232"/>
            <w:vAlign w:val="center"/>
            <w:tcMar>
              <w:top w:w="90" w:type="dxa"/>
              <w:start w:w="110" w:type="dxa"/>
              <w:bottom w:w="90" w:type="dxa"/>
              <w:end w:w="110" w:type="dxa"/>
            </w:tcMar>
          </w:tcPr>
          <w:p>
            <w:pPr>
              <w:spacing w:after="0" w:line="240" w:lineRule="auto"/>
            </w:pPr>
            <w:r>
              <w:rPr>
                <w:rFonts w:ascii="Aptos" w:hAnsi="Aptos"/>
                <w:color w:val="000000"/>
                <w:sz w:val="16"/>
              </w:rPr>
              <w:t>BO 05 Auditability</w:t>
            </w:r>
          </w:p>
        </w:tc>
        <w:tc>
          <w:tcPr>
            <w:tcW w:type="dxa" w:w="3960"/>
            <w:vAlign w:val="center"/>
            <w:tcMar>
              <w:top w:w="90" w:type="dxa"/>
              <w:start w:w="110" w:type="dxa"/>
              <w:bottom w:w="90" w:type="dxa"/>
              <w:end w:w="110" w:type="dxa"/>
            </w:tcMar>
          </w:tcPr>
          <w:p>
            <w:pPr>
              <w:spacing w:after="0" w:line="240" w:lineRule="auto"/>
            </w:pPr>
            <w:r>
              <w:rPr>
                <w:rFonts w:ascii="Aptos" w:hAnsi="Aptos"/>
                <w:color w:val="000000"/>
                <w:sz w:val="16"/>
              </w:rPr>
              <w:t>FR 01, FR 04, FR 07, FR 11, FR 16, FR 21, FR 25</w:t>
            </w:r>
          </w:p>
        </w:tc>
        <w:tc>
          <w:tcPr>
            <w:tcW w:type="dxa" w:w="3240"/>
            <w:vAlign w:val="center"/>
            <w:tcMar>
              <w:top w:w="90" w:type="dxa"/>
              <w:start w:w="110" w:type="dxa"/>
              <w:bottom w:w="90" w:type="dxa"/>
              <w:end w:w="110" w:type="dxa"/>
            </w:tcMar>
          </w:tcPr>
          <w:p>
            <w:pPr>
              <w:spacing w:after="0" w:line="240" w:lineRule="auto"/>
            </w:pPr>
            <w:r>
              <w:rPr>
                <w:rFonts w:ascii="Aptos" w:hAnsi="Aptos"/>
                <w:color w:val="000000"/>
                <w:sz w:val="16"/>
              </w:rPr>
              <w:t>Decision record completeness and reproducible run manifest.</w:t>
            </w:r>
          </w:p>
        </w:tc>
      </w:tr>
      <w:tr>
        <w:tc>
          <w:tcPr>
            <w:tcW w:type="dxa" w:w="2232"/>
            <w:vAlign w:val="center"/>
            <w:tcMar>
              <w:top w:w="90" w:type="dxa"/>
              <w:start w:w="110" w:type="dxa"/>
              <w:bottom w:w="90" w:type="dxa"/>
              <w:end w:w="110" w:type="dxa"/>
            </w:tcMar>
            <w:shd w:fill="F5F9FC"/>
          </w:tcPr>
          <w:p>
            <w:pPr>
              <w:spacing w:after="0" w:line="240" w:lineRule="auto"/>
            </w:pPr>
            <w:r>
              <w:rPr>
                <w:rFonts w:ascii="Aptos" w:hAnsi="Aptos"/>
                <w:color w:val="000000"/>
                <w:sz w:val="16"/>
              </w:rPr>
              <w:t>BO 06 Demonstration</w:t>
            </w:r>
          </w:p>
        </w:tc>
        <w:tc>
          <w:tcPr>
            <w:tcW w:type="dxa" w:w="3960"/>
            <w:vAlign w:val="center"/>
            <w:tcMar>
              <w:top w:w="90" w:type="dxa"/>
              <w:start w:w="110" w:type="dxa"/>
              <w:bottom w:w="90" w:type="dxa"/>
              <w:end w:w="110" w:type="dxa"/>
            </w:tcMar>
            <w:shd w:fill="F5F9FC"/>
          </w:tcPr>
          <w:p>
            <w:pPr>
              <w:spacing w:after="0" w:line="240" w:lineRule="auto"/>
            </w:pPr>
            <w:r>
              <w:rPr>
                <w:rFonts w:ascii="Aptos" w:hAnsi="Aptos"/>
                <w:color w:val="000000"/>
                <w:sz w:val="16"/>
              </w:rPr>
              <w:t>FR 15 to FR 18, FR 22, NFR 06</w:t>
            </w:r>
          </w:p>
        </w:tc>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6"/>
              </w:rPr>
              <w:t>Live scenario walkthrough, dashboard, repository, and documentation.</w:t>
            </w:r>
          </w:p>
        </w:tc>
      </w:tr>
    </w:tbl>
    <w:p>
      <w:pPr>
        <w:spacing w:after="20"/>
        <w:widowControl/>
      </w:pPr>
    </w:p>
    <w:p>
      <w:pPr>
        <w:pStyle w:val="Heading1"/>
      </w:pPr>
      <w:r>
        <w:t>Source materials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240"/>
            <w:shd w:fill="18324A"/>
            <w:tcMar>
              <w:top w:w="90" w:type="dxa"/>
              <w:start w:w="110" w:type="dxa"/>
              <w:bottom w:w="90" w:type="dxa"/>
              <w:end w:w="110" w:type="dxa"/>
            </w:tcMar>
            <w:vAlign w:val="center"/>
          </w:tcPr>
          <w:p>
            <w:pPr>
              <w:spacing w:after="0"/>
              <w:jc w:val="center"/>
            </w:pPr>
            <w:r>
              <w:rPr>
                <w:rFonts w:ascii="Aptos" w:hAnsi="Aptos"/>
                <w:b/>
                <w:color w:val="FFFFFF"/>
                <w:sz w:val="18"/>
              </w:rPr>
              <w:t>Source</w:t>
            </w:r>
          </w:p>
        </w:tc>
        <w:tc>
          <w:tcPr>
            <w:tcW w:type="dxa" w:w="6192"/>
            <w:shd w:fill="18324A"/>
            <w:tcMar>
              <w:top w:w="90" w:type="dxa"/>
              <w:start w:w="110" w:type="dxa"/>
              <w:bottom w:w="90" w:type="dxa"/>
              <w:end w:w="110" w:type="dxa"/>
            </w:tcMar>
            <w:vAlign w:val="center"/>
          </w:tcPr>
          <w:p>
            <w:pPr>
              <w:spacing w:after="0"/>
              <w:jc w:val="center"/>
            </w:pPr>
            <w:r>
              <w:rPr>
                <w:rFonts w:ascii="Aptos" w:hAnsi="Aptos"/>
                <w:b/>
                <w:color w:val="FFFFFF"/>
                <w:sz w:val="18"/>
              </w:rPr>
              <w:t>Use in this BRD</w:t>
            </w:r>
          </w:p>
        </w:tc>
      </w:tr>
      <w:tr>
        <w:tc>
          <w:tcPr>
            <w:tcW w:type="dxa" w:w="3240"/>
            <w:vAlign w:val="center"/>
            <w:tcMar>
              <w:top w:w="90" w:type="dxa"/>
              <w:start w:w="110" w:type="dxa"/>
              <w:bottom w:w="90" w:type="dxa"/>
              <w:end w:w="110" w:type="dxa"/>
            </w:tcMar>
          </w:tcPr>
          <w:p>
            <w:pPr>
              <w:spacing w:after="0" w:line="240" w:lineRule="auto"/>
            </w:pPr>
            <w:r>
              <w:rPr>
                <w:rFonts w:ascii="Aptos" w:hAnsi="Aptos"/>
                <w:color w:val="000000"/>
                <w:sz w:val="17"/>
              </w:rPr>
              <w:t>Challenge Project Overview markdown file</w:t>
            </w:r>
          </w:p>
        </w:tc>
        <w:tc>
          <w:tcPr>
            <w:tcW w:type="dxa" w:w="6192"/>
            <w:vAlign w:val="center"/>
            <w:tcMar>
              <w:top w:w="90" w:type="dxa"/>
              <w:start w:w="110" w:type="dxa"/>
              <w:bottom w:w="90" w:type="dxa"/>
              <w:end w:w="110" w:type="dxa"/>
            </w:tcMar>
          </w:tcPr>
          <w:p>
            <w:pPr>
              <w:spacing w:after="0" w:line="240" w:lineRule="auto"/>
            </w:pPr>
            <w:r>
              <w:rPr>
                <w:rFonts w:ascii="Aptos" w:hAnsi="Aptos"/>
                <w:color w:val="000000"/>
                <w:sz w:val="17"/>
              </w:rPr>
              <w:t>Sponsor challenge, original success targets, broad project milestones, initial dataset links, and program context.</w:t>
            </w:r>
          </w:p>
        </w:tc>
      </w:tr>
      <w:tr>
        <w:tc>
          <w:tcPr>
            <w:tcW w:type="dxa" w:w="3240"/>
            <w:vAlign w:val="center"/>
            <w:tcMar>
              <w:top w:w="90" w:type="dxa"/>
              <w:start w:w="110" w:type="dxa"/>
              <w:bottom w:w="90" w:type="dxa"/>
              <w:end w:w="110" w:type="dxa"/>
            </w:tcMar>
            <w:shd w:fill="F5F9FC"/>
          </w:tcPr>
          <w:p>
            <w:pPr>
              <w:spacing w:after="0" w:line="240" w:lineRule="auto"/>
            </w:pPr>
            <w:r>
              <w:rPr>
                <w:rFonts w:ascii="Aptos" w:hAnsi="Aptos"/>
                <w:color w:val="000000"/>
                <w:sz w:val="17"/>
              </w:rPr>
              <w:t>Governed Prompt Gateway Team Summary PDF</w:t>
            </w:r>
          </w:p>
        </w:tc>
        <w:tc>
          <w:tcPr>
            <w:tcW w:type="dxa" w:w="6192"/>
            <w:vAlign w:val="center"/>
            <w:tcMar>
              <w:top w:w="90" w:type="dxa"/>
              <w:start w:w="110" w:type="dxa"/>
              <w:bottom w:w="90" w:type="dxa"/>
              <w:end w:w="110" w:type="dxa"/>
            </w:tcMar>
            <w:shd w:fill="F5F9FC"/>
          </w:tcPr>
          <w:p>
            <w:pPr>
              <w:spacing w:after="0" w:line="240" w:lineRule="auto"/>
            </w:pPr>
            <w:r>
              <w:rPr>
                <w:rFonts w:ascii="Aptos" w:hAnsi="Aptos"/>
                <w:color w:val="000000"/>
                <w:sz w:val="17"/>
              </w:rPr>
              <w:t>Retail banking scope proposal, target users, dataset choices, six-stage design, deliverables, detailed schedule, roles, evaluation differentiators, and open advisor questions.</w:t>
            </w:r>
          </w:p>
        </w:tc>
      </w:tr>
    </w:tbl>
    <w:p>
      <w:pPr>
        <w:spacing w:after="20"/>
        <w:widowControl/>
      </w:pPr>
    </w:p>
    <w:p>
      <w:pPr>
        <w:widowControl/>
      </w:pPr>
      <w:r>
        <w:br w:type="page"/>
      </w:r>
    </w:p>
    <w:p>
      <w:pPr>
        <w:pStyle w:val="Heading1"/>
      </w:pPr>
      <w:r>
        <w:t>Glossary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18324A"/>
            <w:tcMar>
              <w:top w:w="90" w:type="dxa"/>
              <w:start w:w="110" w:type="dxa"/>
              <w:bottom w:w="90" w:type="dxa"/>
              <w:end w:w="110" w:type="dxa"/>
            </w:tcMar>
            <w:vAlign w:val="center"/>
          </w:tcPr>
          <w:p>
            <w:pPr>
              <w:spacing w:after="0"/>
              <w:jc w:val="center"/>
            </w:pPr>
            <w:r>
              <w:rPr>
                <w:rFonts w:ascii="Aptos" w:hAnsi="Aptos"/>
                <w:b/>
                <w:color w:val="FFFFFF"/>
                <w:sz w:val="18"/>
              </w:rPr>
              <w:t>Term</w:t>
            </w:r>
          </w:p>
        </w:tc>
        <w:tc>
          <w:tcPr>
            <w:tcW w:type="dxa" w:w="7200"/>
            <w:shd w:fill="18324A"/>
            <w:tcMar>
              <w:top w:w="90" w:type="dxa"/>
              <w:start w:w="110" w:type="dxa"/>
              <w:bottom w:w="90" w:type="dxa"/>
              <w:end w:w="110" w:type="dxa"/>
            </w:tcMar>
            <w:vAlign w:val="center"/>
          </w:tcPr>
          <w:p>
            <w:pPr>
              <w:spacing w:after="0"/>
              <w:jc w:val="center"/>
            </w:pPr>
            <w:r>
              <w:rPr>
                <w:rFonts w:ascii="Aptos" w:hAnsi="Aptos"/>
                <w:b/>
                <w:color w:val="FFFFFF"/>
                <w:sz w:val="18"/>
              </w:rPr>
              <w:t>Meaning</w:t>
            </w:r>
          </w:p>
        </w:tc>
      </w:tr>
      <w:tr>
        <w:tc>
          <w:tcPr>
            <w:tcW w:type="dxa" w:w="2232"/>
            <w:vAlign w:val="center"/>
            <w:tcMar>
              <w:top w:w="90" w:type="dxa"/>
              <w:start w:w="110" w:type="dxa"/>
              <w:bottom w:w="90" w:type="dxa"/>
              <w:end w:w="110" w:type="dxa"/>
            </w:tcMar>
          </w:tcPr>
          <w:p>
            <w:pPr>
              <w:spacing w:after="0" w:line="240" w:lineRule="auto"/>
              <w:jc w:val="center"/>
            </w:pPr>
            <w:r>
              <w:rPr>
                <w:rFonts w:ascii="Aptos" w:hAnsi="Aptos"/>
                <w:color w:val="000000"/>
                <w:sz w:val="17"/>
              </w:rPr>
              <w:t>Gateway</w:t>
            </w:r>
          </w:p>
        </w:tc>
        <w:tc>
          <w:tcPr>
            <w:tcW w:type="dxa" w:w="7200"/>
            <w:vAlign w:val="center"/>
            <w:tcMar>
              <w:top w:w="90" w:type="dxa"/>
              <w:start w:w="110" w:type="dxa"/>
              <w:bottom w:w="90" w:type="dxa"/>
              <w:end w:w="110" w:type="dxa"/>
            </w:tcMar>
          </w:tcPr>
          <w:p>
            <w:pPr>
              <w:spacing w:after="0" w:line="240" w:lineRule="auto"/>
            </w:pPr>
            <w:r>
              <w:rPr>
                <w:rFonts w:ascii="Aptos" w:hAnsi="Aptos"/>
                <w:color w:val="000000"/>
                <w:sz w:val="17"/>
              </w:rPr>
              <w:t>The control layer that processes a prompt before any generation model is called.</w:t>
            </w:r>
          </w:p>
        </w:tc>
      </w:tr>
      <w:tr>
        <w:tc>
          <w:tcPr>
            <w:tcW w:type="dxa" w:w="223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Risk classifier</w:t>
            </w:r>
          </w:p>
        </w:tc>
        <w:tc>
          <w:tcPr>
            <w:tcW w:type="dxa" w:w="7200"/>
            <w:vAlign w:val="center"/>
            <w:tcMar>
              <w:top w:w="90" w:type="dxa"/>
              <w:start w:w="110" w:type="dxa"/>
              <w:bottom w:w="90" w:type="dxa"/>
              <w:end w:w="110" w:type="dxa"/>
            </w:tcMar>
            <w:shd w:fill="F5F9FC"/>
          </w:tcPr>
          <w:p>
            <w:pPr>
              <w:spacing w:after="0" w:line="240" w:lineRule="auto"/>
            </w:pPr>
            <w:r>
              <w:rPr>
                <w:rFonts w:ascii="Aptos" w:hAnsi="Aptos"/>
                <w:color w:val="000000"/>
                <w:sz w:val="17"/>
              </w:rPr>
              <w:t>A lightweight model that labels prompt safety and governance risk.</w:t>
            </w:r>
          </w:p>
        </w:tc>
      </w:tr>
      <w:tr>
        <w:tc>
          <w:tcPr>
            <w:tcW w:type="dxa" w:w="2232"/>
            <w:vAlign w:val="center"/>
            <w:tcMar>
              <w:top w:w="90" w:type="dxa"/>
              <w:start w:w="110" w:type="dxa"/>
              <w:bottom w:w="90" w:type="dxa"/>
              <w:end w:w="110" w:type="dxa"/>
            </w:tcMar>
          </w:tcPr>
          <w:p>
            <w:pPr>
              <w:spacing w:after="0" w:line="240" w:lineRule="auto"/>
              <w:jc w:val="center"/>
            </w:pPr>
            <w:r>
              <w:rPr>
                <w:rFonts w:ascii="Aptos" w:hAnsi="Aptos"/>
                <w:color w:val="000000"/>
                <w:sz w:val="17"/>
              </w:rPr>
              <w:t>Policy engine</w:t>
            </w:r>
          </w:p>
        </w:tc>
        <w:tc>
          <w:tcPr>
            <w:tcW w:type="dxa" w:w="7200"/>
            <w:vAlign w:val="center"/>
            <w:tcMar>
              <w:top w:w="90" w:type="dxa"/>
              <w:start w:w="110" w:type="dxa"/>
              <w:bottom w:w="90" w:type="dxa"/>
              <w:end w:w="110" w:type="dxa"/>
            </w:tcMar>
          </w:tcPr>
          <w:p>
            <w:pPr>
              <w:spacing w:after="0" w:line="240" w:lineRule="auto"/>
            </w:pPr>
            <w:r>
              <w:rPr>
                <w:rFonts w:ascii="Aptos" w:hAnsi="Aptos"/>
                <w:color w:val="000000"/>
                <w:sz w:val="17"/>
              </w:rPr>
              <w:t>Versioned rules that convert risk and context into ALLOW, BLOCK, or ESCALATE.</w:t>
            </w:r>
          </w:p>
        </w:tc>
      </w:tr>
      <w:tr>
        <w:tc>
          <w:tcPr>
            <w:tcW w:type="dxa" w:w="223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Semantic cache</w:t>
            </w:r>
          </w:p>
        </w:tc>
        <w:tc>
          <w:tcPr>
            <w:tcW w:type="dxa" w:w="7200"/>
            <w:vAlign w:val="center"/>
            <w:tcMar>
              <w:top w:w="90" w:type="dxa"/>
              <w:start w:w="110" w:type="dxa"/>
              <w:bottom w:w="90" w:type="dxa"/>
              <w:end w:w="110" w:type="dxa"/>
            </w:tcMar>
            <w:shd w:fill="F5F9FC"/>
          </w:tcPr>
          <w:p>
            <w:pPr>
              <w:spacing w:after="0" w:line="240" w:lineRule="auto"/>
            </w:pPr>
            <w:r>
              <w:rPr>
                <w:rFonts w:ascii="Aptos" w:hAnsi="Aptos"/>
                <w:color w:val="000000"/>
                <w:sz w:val="17"/>
              </w:rPr>
              <w:t>A store that can reuse an approved answer for a sufficiently similar eligible query.</w:t>
            </w:r>
          </w:p>
        </w:tc>
      </w:tr>
      <w:tr>
        <w:tc>
          <w:tcPr>
            <w:tcW w:type="dxa" w:w="2232"/>
            <w:vAlign w:val="center"/>
            <w:tcMar>
              <w:top w:w="90" w:type="dxa"/>
              <w:start w:w="110" w:type="dxa"/>
              <w:bottom w:w="90" w:type="dxa"/>
              <w:end w:w="110" w:type="dxa"/>
            </w:tcMar>
          </w:tcPr>
          <w:p>
            <w:pPr>
              <w:spacing w:after="0" w:line="240" w:lineRule="auto"/>
              <w:jc w:val="center"/>
            </w:pPr>
            <w:r>
              <w:rPr>
                <w:rFonts w:ascii="Aptos" w:hAnsi="Aptos"/>
                <w:color w:val="000000"/>
                <w:sz w:val="17"/>
              </w:rPr>
              <w:t>Time to live</w:t>
            </w:r>
          </w:p>
        </w:tc>
        <w:tc>
          <w:tcPr>
            <w:tcW w:type="dxa" w:w="7200"/>
            <w:vAlign w:val="center"/>
            <w:tcMar>
              <w:top w:w="90" w:type="dxa"/>
              <w:start w:w="110" w:type="dxa"/>
              <w:bottom w:w="90" w:type="dxa"/>
              <w:end w:w="110" w:type="dxa"/>
            </w:tcMar>
          </w:tcPr>
          <w:p>
            <w:pPr>
              <w:spacing w:after="0" w:line="240" w:lineRule="auto"/>
            </w:pPr>
            <w:r>
              <w:rPr>
                <w:rFonts w:ascii="Aptos" w:hAnsi="Aptos"/>
                <w:color w:val="000000"/>
                <w:sz w:val="17"/>
              </w:rPr>
              <w:t>The period during which a cached answer remains eligible for reuse.</w:t>
            </w:r>
          </w:p>
        </w:tc>
      </w:tr>
      <w:tr>
        <w:tc>
          <w:tcPr>
            <w:tcW w:type="dxa" w:w="223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Model tier</w:t>
            </w:r>
          </w:p>
        </w:tc>
        <w:tc>
          <w:tcPr>
            <w:tcW w:type="dxa" w:w="7200"/>
            <w:vAlign w:val="center"/>
            <w:tcMar>
              <w:top w:w="90" w:type="dxa"/>
              <w:start w:w="110" w:type="dxa"/>
              <w:bottom w:w="90" w:type="dxa"/>
              <w:end w:w="110" w:type="dxa"/>
            </w:tcMar>
            <w:shd w:fill="F5F9FC"/>
          </w:tcPr>
          <w:p>
            <w:pPr>
              <w:spacing w:after="0" w:line="240" w:lineRule="auto"/>
            </w:pPr>
            <w:r>
              <w:rPr>
                <w:rFonts w:ascii="Aptos" w:hAnsi="Aptos"/>
                <w:color w:val="000000"/>
                <w:sz w:val="17"/>
              </w:rPr>
              <w:t>A category of generation model capability and cost used by the router.</w:t>
            </w:r>
          </w:p>
        </w:tc>
      </w:tr>
      <w:tr>
        <w:tc>
          <w:tcPr>
            <w:tcW w:type="dxa" w:w="2232"/>
            <w:vAlign w:val="center"/>
            <w:tcMar>
              <w:top w:w="90" w:type="dxa"/>
              <w:start w:w="110" w:type="dxa"/>
              <w:bottom w:w="90" w:type="dxa"/>
              <w:end w:w="110" w:type="dxa"/>
            </w:tcMar>
          </w:tcPr>
          <w:p>
            <w:pPr>
              <w:spacing w:after="0" w:line="240" w:lineRule="auto"/>
              <w:jc w:val="center"/>
            </w:pPr>
            <w:r>
              <w:rPr>
                <w:rFonts w:ascii="Aptos" w:hAnsi="Aptos"/>
                <w:color w:val="000000"/>
                <w:sz w:val="17"/>
              </w:rPr>
              <w:t>Decision record</w:t>
            </w:r>
          </w:p>
        </w:tc>
        <w:tc>
          <w:tcPr>
            <w:tcW w:type="dxa" w:w="7200"/>
            <w:vAlign w:val="center"/>
            <w:tcMar>
              <w:top w:w="90" w:type="dxa"/>
              <w:start w:w="110" w:type="dxa"/>
              <w:bottom w:w="90" w:type="dxa"/>
              <w:end w:w="110" w:type="dxa"/>
            </w:tcMar>
          </w:tcPr>
          <w:p>
            <w:pPr>
              <w:spacing w:after="0" w:line="240" w:lineRule="auto"/>
            </w:pPr>
            <w:r>
              <w:rPr>
                <w:rFonts w:ascii="Aptos" w:hAnsi="Aptos"/>
                <w:color w:val="000000"/>
                <w:sz w:val="17"/>
              </w:rPr>
              <w:t>The structured audit output containing stage inputs, versions, reasons, and outcomes.</w:t>
            </w:r>
          </w:p>
        </w:tc>
      </w:tr>
      <w:tr>
        <w:tc>
          <w:tcPr>
            <w:tcW w:type="dxa" w:w="2232"/>
            <w:vAlign w:val="center"/>
            <w:tcMar>
              <w:top w:w="90" w:type="dxa"/>
              <w:start w:w="110" w:type="dxa"/>
              <w:bottom w:w="90" w:type="dxa"/>
              <w:end w:w="110" w:type="dxa"/>
            </w:tcMar>
            <w:shd w:fill="F5F9FC"/>
          </w:tcPr>
          <w:p>
            <w:pPr>
              <w:spacing w:after="0" w:line="240" w:lineRule="auto"/>
              <w:jc w:val="center"/>
            </w:pPr>
            <w:r>
              <w:rPr>
                <w:rFonts w:ascii="Aptos" w:hAnsi="Aptos"/>
                <w:color w:val="000000"/>
                <w:sz w:val="17"/>
              </w:rPr>
              <w:t>Easy set</w:t>
            </w:r>
          </w:p>
        </w:tc>
        <w:tc>
          <w:tcPr>
            <w:tcW w:type="dxa" w:w="7200"/>
            <w:vAlign w:val="center"/>
            <w:tcMar>
              <w:top w:w="90" w:type="dxa"/>
              <w:start w:w="110" w:type="dxa"/>
              <w:bottom w:w="90" w:type="dxa"/>
              <w:end w:w="110" w:type="dxa"/>
            </w:tcMar>
            <w:shd w:fill="F5F9FC"/>
          </w:tcPr>
          <w:p>
            <w:pPr>
              <w:spacing w:after="0" w:line="240" w:lineRule="auto"/>
            </w:pPr>
            <w:r>
              <w:rPr>
                <w:rFonts w:ascii="Aptos" w:hAnsi="Aptos"/>
                <w:color w:val="000000"/>
                <w:sz w:val="17"/>
              </w:rPr>
              <w:t>Public benchmark data on which topic may correlate with harmfulness.</w:t>
            </w:r>
          </w:p>
        </w:tc>
      </w:tr>
      <w:tr>
        <w:tc>
          <w:tcPr>
            <w:tcW w:type="dxa" w:w="2232"/>
            <w:vAlign w:val="center"/>
            <w:tcMar>
              <w:top w:w="90" w:type="dxa"/>
              <w:start w:w="110" w:type="dxa"/>
              <w:bottom w:w="90" w:type="dxa"/>
              <w:end w:w="110" w:type="dxa"/>
            </w:tcMar>
          </w:tcPr>
          <w:p>
            <w:pPr>
              <w:spacing w:after="0" w:line="240" w:lineRule="auto"/>
              <w:jc w:val="center"/>
            </w:pPr>
            <w:r>
              <w:rPr>
                <w:rFonts w:ascii="Aptos" w:hAnsi="Aptos"/>
                <w:color w:val="000000"/>
                <w:sz w:val="17"/>
              </w:rPr>
              <w:t>Hard set</w:t>
            </w:r>
          </w:p>
        </w:tc>
        <w:tc>
          <w:tcPr>
            <w:tcW w:type="dxa" w:w="7200"/>
            <w:vAlign w:val="center"/>
            <w:tcMar>
              <w:top w:w="90" w:type="dxa"/>
              <w:start w:w="110" w:type="dxa"/>
              <w:bottom w:w="90" w:type="dxa"/>
              <w:end w:w="110" w:type="dxa"/>
            </w:tcMar>
          </w:tcPr>
          <w:p>
            <w:pPr>
              <w:spacing w:after="0" w:line="240" w:lineRule="auto"/>
            </w:pPr>
            <w:r>
              <w:rPr>
                <w:rFonts w:ascii="Aptos" w:hAnsi="Aptos"/>
                <w:color w:val="000000"/>
                <w:sz w:val="17"/>
              </w:rPr>
              <w:t>Banking-flavored attacks designed to test risk detection within the target domain.</w:t>
            </w:r>
          </w:p>
        </w:tc>
      </w:tr>
    </w:tbl>
    <w:p>
      <w:pPr>
        <w:spacing w:after="20"/>
        <w:widowControl/>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t xml:space="preserve">Break Through Tech AI Studio  |  Fall 2026  |  </w:t>
    </w:r>
    <w:r>
      <w:rPr>
        <w:rFonts w:ascii="Aptos" w:hAnsi="Aptos"/>
        <w:color w:val="5963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36E"/>
        <w:sz w:val="16"/>
      </w:rPr>
      <w:t>GOVERNED PROMPT GATEWAY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Subtitle">
    <w:name w:val="BRD Subtitle"/>
    <w:pPr>
      <w:spacing w:after="160"/>
    </w:pPr>
    <w:rPr>
      <w:rFonts w:ascii="Aptos" w:hAnsi="Aptos"/>
      <w:color w:val="59636E"/>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Governed Prompt Gateway Business Requirements Document</dc:title>
  <dc:subject>Business requirements for a governed LLM prompt gateway in retail banking support</dc:subject>
  <dc:creator>AI Studio Team</dc:creator>
  <cp:keywords>business requirements, AI governance, prompt gateway, retail banking, LLM safety, cost control</cp:keywords>
  <dc:description>generated by python-docx</dc:description>
  <cp:lastModifiedBy/>
  <cp:revision>1</cp:revision>
  <dcterms:created xsi:type="dcterms:W3CDTF">2013-12-23T23:15:00Z</dcterms:created>
  <dcterms:modified xsi:type="dcterms:W3CDTF">2013-12-23T23:15:00Z</dcterms:modified>
  <cp:category/>
</cp:coreProperties>
</file>