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7667" w:rsidP="10A0D209" w:rsidRDefault="71B4D52C" w14:paraId="0D3846C6" w14:textId="2E942D65">
      <w:pPr>
        <w:pStyle w:val="Title"/>
        <w:pBdr>
          <w:bottom w:val="single" w:color="4F81BD" w:sz="8" w:space="4"/>
        </w:pBdr>
        <w:spacing w:after="300"/>
        <w:jc w:val="center"/>
        <w:rPr>
          <w:rFonts w:ascii="Calibri" w:hAnsi="Calibri" w:eastAsia="Calibri" w:cs="Calibri"/>
          <w:b/>
          <w:bCs/>
          <w:color w:val="00366C"/>
          <w:sz w:val="40"/>
          <w:szCs w:val="40"/>
        </w:rPr>
      </w:pPr>
      <w:r w:rsidRPr="46D50CB9">
        <w:rPr>
          <w:rFonts w:ascii="Calibri" w:hAnsi="Calibri" w:eastAsia="Calibri" w:cs="Calibri"/>
          <w:b/>
          <w:bCs/>
          <w:color w:val="00366C"/>
          <w:sz w:val="40"/>
          <w:szCs w:val="40"/>
        </w:rPr>
        <w:t>AI Research Business Insights for KPMG</w:t>
      </w:r>
    </w:p>
    <w:p w:rsidR="009A7667" w:rsidP="46D50CB9" w:rsidRDefault="71B4D52C" w14:paraId="2DC05C0A" w14:textId="536E1CB0">
      <w:pPr>
        <w:jc w:val="center"/>
        <w:rPr>
          <w:rFonts w:ascii="Aptos" w:hAnsi="Aptos" w:eastAsia="Aptos" w:cs="Aptos"/>
          <w:color w:val="444444"/>
          <w:sz w:val="20"/>
          <w:szCs w:val="20"/>
        </w:rPr>
      </w:pPr>
      <w:r w:rsidRPr="46D50CB9">
        <w:rPr>
          <w:rFonts w:ascii="Aptos" w:hAnsi="Aptos" w:eastAsia="Aptos" w:cs="Aptos"/>
          <w:b/>
          <w:bCs/>
          <w:color w:val="444444"/>
          <w:sz w:val="20"/>
          <w:szCs w:val="20"/>
        </w:rPr>
        <w:t>Business insight = evidence + business relevance + potential implication or action</w:t>
      </w:r>
    </w:p>
    <w:p w:rsidRPr="0083644D" w:rsidR="0083644D" w:rsidP="0083644D" w:rsidRDefault="00C17332" w14:paraId="5DC4D1F3" w14:textId="3DF5DB2E">
      <w:pPr>
        <w:rPr>
          <w:rFonts w:ascii="Aptos" w:hAnsi="Aptos" w:eastAsia="Aptos" w:cs="Aptos"/>
          <w:color w:val="000000" w:themeColor="text1"/>
          <w:sz w:val="18"/>
          <w:szCs w:val="18"/>
        </w:rPr>
      </w:pPr>
      <w:r>
        <w:rPr>
          <w:rFonts w:ascii="Aptos" w:hAnsi="Aptos" w:eastAsia="Aptos" w:cs="Aptos"/>
          <w:b/>
          <w:bCs/>
          <w:color w:val="000000" w:themeColor="text1"/>
          <w:sz w:val="18"/>
          <w:szCs w:val="18"/>
        </w:rPr>
        <w:t>P</w:t>
      </w:r>
      <w:r w:rsidRPr="0083644D" w:rsidR="0083644D">
        <w:rPr>
          <w:rFonts w:ascii="Aptos" w:hAnsi="Aptos" w:eastAsia="Aptos" w:cs="Aptos"/>
          <w:b/>
          <w:bCs/>
          <w:color w:val="000000" w:themeColor="text1"/>
          <w:sz w:val="18"/>
          <w:szCs w:val="18"/>
        </w:rPr>
        <w:t xml:space="preserve">urpose. </w:t>
      </w:r>
      <w:r w:rsidRPr="0083644D" w:rsidR="0083644D">
        <w:rPr>
          <w:rFonts w:ascii="Aptos" w:hAnsi="Aptos" w:eastAsia="Aptos" w:cs="Aptos"/>
          <w:color w:val="000000" w:themeColor="text1"/>
          <w:sz w:val="18"/>
          <w:szCs w:val="18"/>
        </w:rPr>
        <w:t>Each row explains what the researchers found, why it could matter to KPMG, and what KPMG could consider doing next. The KPMG examples are ideas for student analysis, not conclusions stated by the researchers. </w:t>
      </w:r>
    </w:p>
    <w:tbl>
      <w:tblPr>
        <w:tblW w:w="9344"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1710"/>
        <w:gridCol w:w="3105"/>
        <w:gridCol w:w="2422"/>
        <w:gridCol w:w="2107"/>
      </w:tblGrid>
      <w:tr w:rsidRPr="0083644D" w:rsidR="0083644D" w:rsidTr="179570D7" w14:paraId="3F0EEFD0" w14:textId="77777777">
        <w:trPr>
          <w:trHeight w:val="300"/>
        </w:trPr>
        <w:tc>
          <w:tcPr>
            <w:tcW w:w="1710" w:type="dxa"/>
            <w:tcBorders>
              <w:top w:val="single" w:color="B7C9D6" w:sz="6" w:space="0"/>
              <w:left w:val="single" w:color="B7C9D6" w:sz="6" w:space="0"/>
              <w:bottom w:val="single" w:color="B7C9D6" w:sz="6" w:space="0"/>
              <w:right w:val="single" w:color="B7C9D6" w:sz="6" w:space="0"/>
            </w:tcBorders>
            <w:shd w:val="clear" w:color="auto" w:fill="00366C"/>
            <w:tcMar/>
            <w:vAlign w:val="center"/>
            <w:hideMark/>
          </w:tcPr>
          <w:p w:rsidRPr="0083644D" w:rsidR="0083644D" w:rsidP="00BE4029" w:rsidRDefault="00BE4029" w14:paraId="62B73AC8" w14:textId="62A0E1D7">
            <w:pPr>
              <w:jc w:val="center"/>
              <w:rPr>
                <w:rFonts w:ascii="Aptos" w:hAnsi="Aptos" w:eastAsia="Aptos" w:cs="Aptos"/>
                <w:color w:val="FFFFFF" w:themeColor="background1"/>
                <w:sz w:val="18"/>
                <w:szCs w:val="18"/>
              </w:rPr>
            </w:pPr>
            <w:r>
              <w:rPr>
                <w:rFonts w:ascii="Aptos" w:hAnsi="Aptos" w:eastAsia="Aptos" w:cs="Aptos"/>
                <w:b/>
                <w:bCs/>
                <w:color w:val="FFFFFF" w:themeColor="background1"/>
                <w:sz w:val="18"/>
                <w:szCs w:val="18"/>
              </w:rPr>
              <w:t>Title</w:t>
            </w:r>
          </w:p>
        </w:tc>
        <w:tc>
          <w:tcPr>
            <w:tcW w:w="3105" w:type="dxa"/>
            <w:tcBorders>
              <w:top w:val="single" w:color="B7C9D6" w:sz="6" w:space="0"/>
              <w:left w:val="single" w:color="B7C9D6" w:sz="6" w:space="0"/>
              <w:bottom w:val="single" w:color="B7C9D6" w:sz="6" w:space="0"/>
              <w:right w:val="single" w:color="B7C9D6" w:sz="6" w:space="0"/>
            </w:tcBorders>
            <w:shd w:val="clear" w:color="auto" w:fill="00366C"/>
            <w:tcMar/>
            <w:vAlign w:val="center"/>
            <w:hideMark/>
          </w:tcPr>
          <w:p w:rsidRPr="0083644D" w:rsidR="0083644D" w:rsidP="00BE4029" w:rsidRDefault="0083644D" w14:paraId="2A56F85A" w14:textId="1F0A6E0F">
            <w:pPr>
              <w:jc w:val="center"/>
              <w:rPr>
                <w:rFonts w:ascii="Aptos" w:hAnsi="Aptos" w:eastAsia="Aptos" w:cs="Aptos"/>
                <w:color w:val="FFFFFF" w:themeColor="background1"/>
                <w:sz w:val="18"/>
                <w:szCs w:val="18"/>
              </w:rPr>
            </w:pPr>
            <w:r w:rsidRPr="0083644D">
              <w:rPr>
                <w:rFonts w:ascii="Aptos" w:hAnsi="Aptos" w:eastAsia="Aptos" w:cs="Aptos"/>
                <w:b/>
                <w:bCs/>
                <w:color w:val="FFFFFF" w:themeColor="background1"/>
                <w:sz w:val="18"/>
                <w:szCs w:val="18"/>
              </w:rPr>
              <w:t>What the Study Found</w:t>
            </w:r>
          </w:p>
        </w:tc>
        <w:tc>
          <w:tcPr>
            <w:tcW w:w="2422" w:type="dxa"/>
            <w:tcBorders>
              <w:top w:val="single" w:color="B7C9D6" w:sz="6" w:space="0"/>
              <w:left w:val="single" w:color="B7C9D6" w:sz="6" w:space="0"/>
              <w:bottom w:val="single" w:color="B7C9D6" w:sz="6" w:space="0"/>
              <w:right w:val="single" w:color="B7C9D6" w:sz="6" w:space="0"/>
            </w:tcBorders>
            <w:shd w:val="clear" w:color="auto" w:fill="00366C"/>
            <w:tcMar/>
            <w:vAlign w:val="center"/>
            <w:hideMark/>
          </w:tcPr>
          <w:p w:rsidRPr="0083644D" w:rsidR="0083644D" w:rsidP="00BE4029" w:rsidRDefault="0083644D" w14:paraId="65826B89" w14:textId="6E2D041F">
            <w:pPr>
              <w:jc w:val="center"/>
              <w:rPr>
                <w:rFonts w:ascii="Aptos" w:hAnsi="Aptos" w:eastAsia="Aptos" w:cs="Aptos"/>
                <w:color w:val="FFFFFF" w:themeColor="background1"/>
                <w:sz w:val="18"/>
                <w:szCs w:val="18"/>
              </w:rPr>
            </w:pPr>
            <w:r w:rsidRPr="0083644D">
              <w:rPr>
                <w:rFonts w:ascii="Aptos" w:hAnsi="Aptos" w:eastAsia="Aptos" w:cs="Aptos"/>
                <w:b/>
                <w:bCs/>
                <w:color w:val="FFFFFF" w:themeColor="background1"/>
                <w:sz w:val="18"/>
                <w:szCs w:val="18"/>
              </w:rPr>
              <w:t>Why It Matters to KPMG</w:t>
            </w:r>
          </w:p>
        </w:tc>
        <w:tc>
          <w:tcPr>
            <w:tcW w:w="2107" w:type="dxa"/>
            <w:tcBorders>
              <w:top w:val="single" w:color="B7C9D6" w:sz="6" w:space="0"/>
              <w:left w:val="single" w:color="B7C9D6" w:sz="6" w:space="0"/>
              <w:bottom w:val="single" w:color="B7C9D6" w:sz="6" w:space="0"/>
              <w:right w:val="single" w:color="B7C9D6" w:sz="6" w:space="0"/>
            </w:tcBorders>
            <w:shd w:val="clear" w:color="auto" w:fill="00366C"/>
            <w:tcMar/>
            <w:vAlign w:val="center"/>
            <w:hideMark/>
          </w:tcPr>
          <w:p w:rsidRPr="0083644D" w:rsidR="0083644D" w:rsidP="00BE4029" w:rsidRDefault="0083644D" w14:paraId="5764549D" w14:textId="50040ED3">
            <w:pPr>
              <w:jc w:val="center"/>
              <w:rPr>
                <w:rFonts w:ascii="Aptos" w:hAnsi="Aptos" w:eastAsia="Aptos" w:cs="Aptos"/>
                <w:color w:val="FFFFFF" w:themeColor="background1"/>
                <w:sz w:val="18"/>
                <w:szCs w:val="18"/>
              </w:rPr>
            </w:pPr>
            <w:r w:rsidRPr="0083644D">
              <w:rPr>
                <w:rFonts w:ascii="Aptos" w:hAnsi="Aptos" w:eastAsia="Aptos" w:cs="Aptos"/>
                <w:b/>
                <w:bCs/>
                <w:color w:val="FFFFFF" w:themeColor="background1"/>
                <w:sz w:val="18"/>
                <w:szCs w:val="18"/>
              </w:rPr>
              <w:t>What KPMG Could Consider</w:t>
            </w:r>
          </w:p>
        </w:tc>
      </w:tr>
      <w:tr w:rsidRPr="0083644D" w:rsidR="0083644D" w:rsidTr="179570D7" w14:paraId="68CC80B8" w14:textId="77777777">
        <w:trPr>
          <w:trHeight w:val="300"/>
        </w:trPr>
        <w:tc>
          <w:tcPr>
            <w:tcW w:w="1710" w:type="dxa"/>
            <w:tcBorders>
              <w:top w:val="single" w:color="B7C9D6" w:sz="6" w:space="0"/>
              <w:left w:val="single" w:color="B7C9D6" w:sz="6" w:space="0"/>
              <w:bottom w:val="single" w:color="B7C9D6" w:sz="6" w:space="0"/>
              <w:right w:val="single" w:color="B7C9D6" w:sz="6" w:space="0"/>
            </w:tcBorders>
            <w:shd w:val="clear" w:color="auto" w:fill="EEF4F8"/>
            <w:tcMar/>
            <w:vAlign w:val="center"/>
            <w:hideMark/>
          </w:tcPr>
          <w:p w:rsidRPr="0083644D" w:rsidR="0083644D" w:rsidP="0083644D" w:rsidRDefault="0083644D" w14:paraId="3B12E42A" w14:textId="77777777">
            <w:pPr>
              <w:rPr>
                <w:rFonts w:ascii="Aptos" w:hAnsi="Aptos" w:eastAsia="Aptos" w:cs="Aptos"/>
                <w:color w:val="000000" w:themeColor="text1"/>
                <w:sz w:val="18"/>
                <w:szCs w:val="18"/>
              </w:rPr>
            </w:pPr>
            <w:r w:rsidRPr="0083644D">
              <w:rPr>
                <w:rFonts w:ascii="Aptos" w:hAnsi="Aptos" w:eastAsia="Aptos" w:cs="Aptos"/>
                <w:b/>
                <w:bCs/>
                <w:color w:val="000000" w:themeColor="text1"/>
                <w:sz w:val="18"/>
                <w:szCs w:val="18"/>
              </w:rPr>
              <w:t>An Agentic Approach for Active Data Collection, Travel Behavior Modeling, and Weather-Sensitive Demand Prediction</w:t>
            </w:r>
            <w:r w:rsidRPr="0083644D">
              <w:rPr>
                <w:rFonts w:ascii="Aptos" w:hAnsi="Aptos" w:eastAsia="Aptos" w:cs="Aptos"/>
                <w:color w:val="000000" w:themeColor="text1"/>
                <w:sz w:val="18"/>
                <w:szCs w:val="18"/>
              </w:rPr>
              <w:t> </w:t>
            </w:r>
          </w:p>
        </w:tc>
        <w:tc>
          <w:tcPr>
            <w:tcW w:w="3105" w:type="dxa"/>
            <w:tcBorders>
              <w:top w:val="single" w:color="B7C9D6" w:sz="6" w:space="0"/>
              <w:left w:val="single" w:color="B7C9D6" w:sz="6" w:space="0"/>
              <w:bottom w:val="single" w:color="B7C9D6" w:sz="6" w:space="0"/>
              <w:right w:val="single" w:color="B7C9D6" w:sz="6" w:space="0"/>
            </w:tcBorders>
            <w:shd w:val="clear" w:color="auto" w:fill="EEF4F8"/>
            <w:tcMar/>
            <w:vAlign w:val="center"/>
            <w:hideMark/>
          </w:tcPr>
          <w:p w:rsidRPr="0083644D" w:rsidR="0083644D" w:rsidP="0083644D" w:rsidRDefault="0083644D" w14:paraId="5EC804C9" w14:textId="77777777">
            <w:pPr>
              <w:rPr>
                <w:rFonts w:ascii="Aptos" w:hAnsi="Aptos" w:eastAsia="Aptos" w:cs="Aptos"/>
                <w:color w:val="000000" w:themeColor="text1"/>
                <w:sz w:val="18"/>
                <w:szCs w:val="18"/>
              </w:rPr>
            </w:pPr>
            <w:r w:rsidRPr="0083644D">
              <w:rPr>
                <w:rFonts w:ascii="Aptos" w:hAnsi="Aptos" w:eastAsia="Aptos" w:cs="Aptos"/>
                <w:color w:val="000000" w:themeColor="text1"/>
                <w:sz w:val="18"/>
                <w:szCs w:val="18"/>
              </w:rPr>
              <w:t>The researchers built a three-part AI workflow that collected survey responses, cleaned and organized the data, and predicted how people might travel in different weather. In a study of 92 student commuters, information about people’s usual travel habits helped the AI make better predictions; however, the small student sample means the results should not be treated as broadly representative. </w:t>
            </w:r>
          </w:p>
        </w:tc>
        <w:tc>
          <w:tcPr>
            <w:tcW w:w="2422" w:type="dxa"/>
            <w:tcBorders>
              <w:top w:val="single" w:color="B7C9D6" w:sz="6" w:space="0"/>
              <w:left w:val="single" w:color="B7C9D6" w:sz="6" w:space="0"/>
              <w:bottom w:val="single" w:color="B7C9D6" w:sz="6" w:space="0"/>
              <w:right w:val="single" w:color="B7C9D6" w:sz="6" w:space="0"/>
            </w:tcBorders>
            <w:shd w:val="clear" w:color="auto" w:fill="EEF4F8"/>
            <w:tcMar/>
            <w:vAlign w:val="center"/>
            <w:hideMark/>
          </w:tcPr>
          <w:p w:rsidRPr="0083644D" w:rsidR="0083644D" w:rsidP="0083644D" w:rsidRDefault="0083644D" w14:paraId="3A6C7194" w14:textId="77777777">
            <w:pPr>
              <w:rPr>
                <w:rFonts w:ascii="Aptos" w:hAnsi="Aptos" w:eastAsia="Aptos" w:cs="Aptos"/>
                <w:color w:val="000000" w:themeColor="text1"/>
                <w:sz w:val="18"/>
                <w:szCs w:val="18"/>
              </w:rPr>
            </w:pPr>
            <w:r w:rsidRPr="0083644D">
              <w:rPr>
                <w:rFonts w:ascii="Aptos" w:hAnsi="Aptos" w:eastAsia="Aptos" w:cs="Aptos"/>
                <w:color w:val="000000" w:themeColor="text1"/>
                <w:sz w:val="18"/>
                <w:szCs w:val="18"/>
              </w:rPr>
              <w:t>Many KPMG projects involve collecting information, analyzing it, and turning it into a recommendation. This study shows how separate AI agents could support each step while keeping clear handoffs, records, and human review. </w:t>
            </w:r>
          </w:p>
        </w:tc>
        <w:tc>
          <w:tcPr>
            <w:tcW w:w="2107" w:type="dxa"/>
            <w:tcBorders>
              <w:top w:val="single" w:color="B7C9D6" w:sz="6" w:space="0"/>
              <w:left w:val="single" w:color="B7C9D6" w:sz="6" w:space="0"/>
              <w:bottom w:val="single" w:color="B7C9D6" w:sz="6" w:space="0"/>
              <w:right w:val="single" w:color="B7C9D6" w:sz="6" w:space="0"/>
            </w:tcBorders>
            <w:shd w:val="clear" w:color="auto" w:fill="EEF4F8"/>
            <w:tcMar/>
            <w:vAlign w:val="center"/>
            <w:hideMark/>
          </w:tcPr>
          <w:p w:rsidRPr="0083644D" w:rsidR="0083644D" w:rsidP="0083644D" w:rsidRDefault="0083644D" w14:paraId="6D4E1D72" w14:textId="77777777">
            <w:pPr>
              <w:rPr>
                <w:rFonts w:ascii="Aptos" w:hAnsi="Aptos" w:eastAsia="Aptos" w:cs="Aptos"/>
                <w:color w:val="000000" w:themeColor="text1"/>
                <w:sz w:val="18"/>
                <w:szCs w:val="18"/>
              </w:rPr>
            </w:pPr>
            <w:r w:rsidRPr="0083644D">
              <w:rPr>
                <w:rFonts w:ascii="Aptos" w:hAnsi="Aptos" w:eastAsia="Aptos" w:cs="Aptos"/>
                <w:color w:val="000000" w:themeColor="text1"/>
                <w:sz w:val="18"/>
                <w:szCs w:val="18"/>
              </w:rPr>
              <w:t>KPMG could test a similar workflow in a small client or internal pilot. The team should clearly define what each agent can do, keep the original data unchanged, document prompts and decisions, and validate results using a larger and more representative group before relying on them. </w:t>
            </w:r>
          </w:p>
        </w:tc>
      </w:tr>
      <w:tr w:rsidRPr="0083644D" w:rsidR="0083644D" w:rsidTr="179570D7" w14:paraId="3D488D9C" w14:textId="77777777">
        <w:trPr>
          <w:trHeight w:val="300"/>
        </w:trPr>
        <w:tc>
          <w:tcPr>
            <w:tcW w:w="1710" w:type="dxa"/>
            <w:tcBorders>
              <w:top w:val="single" w:color="B7C9D6" w:sz="6" w:space="0"/>
              <w:left w:val="single" w:color="B7C9D6" w:sz="6" w:space="0"/>
              <w:bottom w:val="single" w:color="B7C9D6" w:sz="6" w:space="0"/>
              <w:right w:val="single" w:color="B7C9D6" w:sz="6" w:space="0"/>
            </w:tcBorders>
            <w:shd w:val="clear" w:color="auto" w:fill="FFFFFF" w:themeFill="background1"/>
            <w:tcMar/>
            <w:vAlign w:val="center"/>
            <w:hideMark/>
          </w:tcPr>
          <w:p w:rsidRPr="0083644D" w:rsidR="0083644D" w:rsidP="0083644D" w:rsidRDefault="0083644D" w14:paraId="0872F8AD" w14:textId="77777777">
            <w:pPr>
              <w:rPr>
                <w:rFonts w:ascii="Aptos" w:hAnsi="Aptos" w:eastAsia="Aptos" w:cs="Aptos"/>
                <w:color w:val="000000" w:themeColor="text1"/>
                <w:sz w:val="18"/>
                <w:szCs w:val="18"/>
              </w:rPr>
            </w:pPr>
            <w:r w:rsidRPr="0083644D">
              <w:rPr>
                <w:rFonts w:ascii="Aptos" w:hAnsi="Aptos" w:eastAsia="Aptos" w:cs="Aptos"/>
                <w:b/>
                <w:bCs/>
                <w:color w:val="000000" w:themeColor="text1"/>
                <w:sz w:val="18"/>
                <w:szCs w:val="18"/>
              </w:rPr>
              <w:t>Inducing Task Models from Computer-Use Traces</w:t>
            </w:r>
            <w:r w:rsidRPr="0083644D">
              <w:rPr>
                <w:rFonts w:ascii="Aptos" w:hAnsi="Aptos" w:eastAsia="Aptos" w:cs="Aptos"/>
                <w:color w:val="000000" w:themeColor="text1"/>
                <w:sz w:val="18"/>
                <w:szCs w:val="18"/>
              </w:rPr>
              <w:t> </w:t>
            </w:r>
          </w:p>
        </w:tc>
        <w:tc>
          <w:tcPr>
            <w:tcW w:w="3105" w:type="dxa"/>
            <w:tcBorders>
              <w:top w:val="single" w:color="B7C9D6" w:sz="6" w:space="0"/>
              <w:left w:val="single" w:color="B7C9D6" w:sz="6" w:space="0"/>
              <w:bottom w:val="single" w:color="B7C9D6" w:sz="6" w:space="0"/>
              <w:right w:val="single" w:color="B7C9D6" w:sz="6" w:space="0"/>
            </w:tcBorders>
            <w:shd w:val="clear" w:color="auto" w:fill="FFFFFF" w:themeFill="background1"/>
            <w:tcMar/>
            <w:vAlign w:val="center"/>
            <w:hideMark/>
          </w:tcPr>
          <w:p w:rsidRPr="0083644D" w:rsidR="0083644D" w:rsidP="0083644D" w:rsidRDefault="0083644D" w14:paraId="3DBAB28E" w14:textId="77777777">
            <w:pPr>
              <w:rPr>
                <w:rFonts w:ascii="Aptos" w:hAnsi="Aptos" w:eastAsia="Aptos" w:cs="Aptos"/>
                <w:color w:val="000000" w:themeColor="text1"/>
                <w:sz w:val="18"/>
                <w:szCs w:val="18"/>
              </w:rPr>
            </w:pPr>
            <w:r w:rsidRPr="0083644D">
              <w:rPr>
                <w:rFonts w:ascii="Aptos" w:hAnsi="Aptos" w:eastAsia="Aptos" w:cs="Aptos"/>
                <w:color w:val="000000" w:themeColor="text1"/>
                <w:sz w:val="18"/>
                <w:szCs w:val="18"/>
              </w:rPr>
              <w:t>The researchers developed a method that studies screenshots, mouse clicks, and keyboard activity to identify the different tasks a person is completing, even when the person switches between tasks. The method recreated much more of the observed work process than a standard workflow summary and produced instructions that helped AI agents perform new tasks more accurately. </w:t>
            </w:r>
          </w:p>
        </w:tc>
        <w:tc>
          <w:tcPr>
            <w:tcW w:w="2422" w:type="dxa"/>
            <w:tcBorders>
              <w:top w:val="single" w:color="B7C9D6" w:sz="6" w:space="0"/>
              <w:left w:val="single" w:color="B7C9D6" w:sz="6" w:space="0"/>
              <w:bottom w:val="single" w:color="B7C9D6" w:sz="6" w:space="0"/>
              <w:right w:val="single" w:color="B7C9D6" w:sz="6" w:space="0"/>
            </w:tcBorders>
            <w:shd w:val="clear" w:color="auto" w:fill="FFFFFF" w:themeFill="background1"/>
            <w:tcMar/>
            <w:vAlign w:val="center"/>
            <w:hideMark/>
          </w:tcPr>
          <w:p w:rsidRPr="0083644D" w:rsidR="0083644D" w:rsidP="0083644D" w:rsidRDefault="0083644D" w14:paraId="3E60C3C8" w14:textId="6F7B0429">
            <w:pPr>
              <w:rPr>
                <w:rFonts w:ascii="Aptos" w:hAnsi="Aptos" w:eastAsia="Aptos" w:cs="Aptos"/>
                <w:color w:val="000000" w:themeColor="text1"/>
                <w:sz w:val="18"/>
                <w:szCs w:val="18"/>
              </w:rPr>
            </w:pPr>
            <w:r w:rsidRPr="0083644D">
              <w:rPr>
                <w:rFonts w:ascii="Aptos" w:hAnsi="Aptos" w:eastAsia="Aptos" w:cs="Aptos"/>
                <w:color w:val="000000" w:themeColor="text1"/>
                <w:sz w:val="18"/>
                <w:szCs w:val="18"/>
              </w:rPr>
              <w:t>Organizations often rely on employees to explain how work gets done, but important steps may be undocumented. This approach could help KPMG understand real workflows, create training materials, improve process documentation, and design better AI assistants. </w:t>
            </w:r>
          </w:p>
        </w:tc>
        <w:tc>
          <w:tcPr>
            <w:tcW w:w="2107" w:type="dxa"/>
            <w:tcBorders>
              <w:top w:val="single" w:color="B7C9D6" w:sz="6" w:space="0"/>
              <w:left w:val="single" w:color="B7C9D6" w:sz="6" w:space="0"/>
              <w:bottom w:val="single" w:color="B7C9D6" w:sz="6" w:space="0"/>
              <w:right w:val="single" w:color="B7C9D6" w:sz="6" w:space="0"/>
            </w:tcBorders>
            <w:shd w:val="clear" w:color="auto" w:fill="FFFFFF" w:themeFill="background1"/>
            <w:tcMar/>
            <w:vAlign w:val="center"/>
            <w:hideMark/>
          </w:tcPr>
          <w:p w:rsidRPr="0083644D" w:rsidR="0083644D" w:rsidP="0083644D" w:rsidRDefault="0083644D" w14:paraId="2143B377" w14:textId="77777777">
            <w:pPr>
              <w:rPr>
                <w:rFonts w:ascii="Aptos" w:hAnsi="Aptos" w:eastAsia="Aptos" w:cs="Aptos"/>
                <w:color w:val="000000" w:themeColor="text1"/>
                <w:sz w:val="18"/>
                <w:szCs w:val="18"/>
              </w:rPr>
            </w:pPr>
            <w:r w:rsidRPr="0083644D">
              <w:rPr>
                <w:rFonts w:ascii="Aptos" w:hAnsi="Aptos" w:eastAsia="Aptos" w:cs="Aptos"/>
                <w:color w:val="000000" w:themeColor="text1"/>
                <w:sz w:val="18"/>
                <w:szCs w:val="18"/>
              </w:rPr>
              <w:t xml:space="preserve">KPMG could run a limited pilot using volunteers and a low-risk process. Because screen activity may reveal personal, client, or confidential information, the pilot should minimize and remove sensitive data, obtain clear consent, and require people to review any AI-generated </w:t>
            </w:r>
            <w:r w:rsidRPr="0083644D">
              <w:rPr>
                <w:rFonts w:ascii="Aptos" w:hAnsi="Aptos" w:eastAsia="Aptos" w:cs="Aptos"/>
                <w:color w:val="000000" w:themeColor="text1"/>
                <w:sz w:val="18"/>
                <w:szCs w:val="18"/>
              </w:rPr>
              <w:lastRenderedPageBreak/>
              <w:t>description before it is reused. </w:t>
            </w:r>
          </w:p>
        </w:tc>
      </w:tr>
      <w:tr w:rsidRPr="0083644D" w:rsidR="0083644D" w:rsidTr="179570D7" w14:paraId="19E89A31" w14:textId="77777777">
        <w:trPr>
          <w:trHeight w:val="300"/>
        </w:trPr>
        <w:tc>
          <w:tcPr>
            <w:tcW w:w="1710" w:type="dxa"/>
            <w:tcBorders>
              <w:top w:val="single" w:color="B7C9D6" w:sz="6" w:space="0"/>
              <w:left w:val="single" w:color="B7C9D6" w:sz="6" w:space="0"/>
              <w:bottom w:val="single" w:color="B7C9D6" w:sz="6" w:space="0"/>
              <w:right w:val="single" w:color="B7C9D6" w:sz="6" w:space="0"/>
            </w:tcBorders>
            <w:shd w:val="clear" w:color="auto" w:fill="EEF4F8"/>
            <w:tcMar/>
            <w:vAlign w:val="center"/>
            <w:hideMark/>
          </w:tcPr>
          <w:p w:rsidRPr="0083644D" w:rsidR="0083644D" w:rsidP="0083644D" w:rsidRDefault="0083644D" w14:paraId="236D680D" w14:textId="77777777">
            <w:pPr>
              <w:rPr>
                <w:rFonts w:ascii="Aptos" w:hAnsi="Aptos" w:eastAsia="Aptos" w:cs="Aptos"/>
                <w:color w:val="000000" w:themeColor="text1"/>
                <w:sz w:val="18"/>
                <w:szCs w:val="18"/>
              </w:rPr>
            </w:pPr>
            <w:r w:rsidRPr="0083644D">
              <w:rPr>
                <w:rFonts w:ascii="Aptos" w:hAnsi="Aptos" w:eastAsia="Aptos" w:cs="Aptos"/>
                <w:b/>
                <w:bCs/>
                <w:color w:val="000000" w:themeColor="text1"/>
                <w:sz w:val="18"/>
                <w:szCs w:val="18"/>
              </w:rPr>
              <w:lastRenderedPageBreak/>
              <w:t>Pandora’s AI Model Routing Box: Efficient Allocation with Costly Value Estimation</w:t>
            </w:r>
            <w:r w:rsidRPr="0083644D">
              <w:rPr>
                <w:rFonts w:ascii="Aptos" w:hAnsi="Aptos" w:eastAsia="Aptos" w:cs="Aptos"/>
                <w:color w:val="000000" w:themeColor="text1"/>
                <w:sz w:val="18"/>
                <w:szCs w:val="18"/>
              </w:rPr>
              <w:t> </w:t>
            </w:r>
          </w:p>
        </w:tc>
        <w:tc>
          <w:tcPr>
            <w:tcW w:w="3105" w:type="dxa"/>
            <w:tcBorders>
              <w:top w:val="single" w:color="B7C9D6" w:sz="6" w:space="0"/>
              <w:left w:val="single" w:color="B7C9D6" w:sz="6" w:space="0"/>
              <w:bottom w:val="single" w:color="B7C9D6" w:sz="6" w:space="0"/>
              <w:right w:val="single" w:color="B7C9D6" w:sz="6" w:space="0"/>
            </w:tcBorders>
            <w:shd w:val="clear" w:color="auto" w:fill="EEF4F8"/>
            <w:tcMar/>
            <w:vAlign w:val="center"/>
            <w:hideMark/>
          </w:tcPr>
          <w:p w:rsidRPr="0083644D" w:rsidR="0083644D" w:rsidP="0083644D" w:rsidRDefault="0083644D" w14:paraId="373D6E0D" w14:textId="77777777">
            <w:pPr>
              <w:rPr>
                <w:rFonts w:ascii="Aptos" w:hAnsi="Aptos" w:eastAsia="Aptos" w:cs="Aptos"/>
                <w:color w:val="000000" w:themeColor="text1"/>
                <w:sz w:val="18"/>
                <w:szCs w:val="18"/>
              </w:rPr>
            </w:pPr>
            <w:r w:rsidRPr="0083644D">
              <w:rPr>
                <w:rFonts w:ascii="Aptos" w:hAnsi="Aptos" w:eastAsia="Aptos" w:cs="Aptos"/>
                <w:color w:val="000000" w:themeColor="text1"/>
                <w:sz w:val="18"/>
                <w:szCs w:val="18"/>
              </w:rPr>
              <w:t>The paper asks when an AI system should spend extra resources to decide which model is best for a task. Its routing method starts with a quick, low-cost estimate and uses a more expensive check only when the extra information is likely to improve the decision, producing results close to checking every model while making fewer expensive checks. </w:t>
            </w:r>
          </w:p>
        </w:tc>
        <w:tc>
          <w:tcPr>
            <w:tcW w:w="2422" w:type="dxa"/>
            <w:tcBorders>
              <w:top w:val="single" w:color="B7C9D6" w:sz="6" w:space="0"/>
              <w:left w:val="single" w:color="B7C9D6" w:sz="6" w:space="0"/>
              <w:bottom w:val="single" w:color="B7C9D6" w:sz="6" w:space="0"/>
              <w:right w:val="single" w:color="B7C9D6" w:sz="6" w:space="0"/>
            </w:tcBorders>
            <w:shd w:val="clear" w:color="auto" w:fill="EEF4F8"/>
            <w:tcMar/>
            <w:vAlign w:val="center"/>
            <w:hideMark/>
          </w:tcPr>
          <w:p w:rsidRPr="0083644D" w:rsidR="0083644D" w:rsidP="0083644D" w:rsidRDefault="0083644D" w14:paraId="4AB3AC75" w14:textId="77777777">
            <w:pPr>
              <w:rPr>
                <w:rFonts w:ascii="Aptos" w:hAnsi="Aptos" w:eastAsia="Aptos" w:cs="Aptos"/>
                <w:color w:val="000000" w:themeColor="text1"/>
                <w:sz w:val="18"/>
                <w:szCs w:val="18"/>
              </w:rPr>
            </w:pPr>
            <w:r w:rsidRPr="0083644D">
              <w:rPr>
                <w:rFonts w:ascii="Aptos" w:hAnsi="Aptos" w:eastAsia="Aptos" w:cs="Aptos"/>
                <w:color w:val="000000" w:themeColor="text1"/>
                <w:sz w:val="18"/>
                <w:szCs w:val="18"/>
              </w:rPr>
              <w:t>KPMG AI solutions may have several models, tools, or data sources available, each with different quality, speed, and cost. Smart routing could help teams avoid using the largest or most expensive option for every request while still sending difficult work to a stronger specialist. </w:t>
            </w:r>
          </w:p>
        </w:tc>
        <w:tc>
          <w:tcPr>
            <w:tcW w:w="2107" w:type="dxa"/>
            <w:tcBorders>
              <w:top w:val="single" w:color="B7C9D6" w:sz="6" w:space="0"/>
              <w:left w:val="single" w:color="B7C9D6" w:sz="6" w:space="0"/>
              <w:bottom w:val="single" w:color="B7C9D6" w:sz="6" w:space="0"/>
              <w:right w:val="single" w:color="B7C9D6" w:sz="6" w:space="0"/>
            </w:tcBorders>
            <w:shd w:val="clear" w:color="auto" w:fill="EEF4F8"/>
            <w:tcMar/>
            <w:vAlign w:val="center"/>
            <w:hideMark/>
          </w:tcPr>
          <w:p w:rsidRPr="0083644D" w:rsidR="0083644D" w:rsidP="0083644D" w:rsidRDefault="0083644D" w14:paraId="69EBE622" w14:textId="77777777">
            <w:pPr>
              <w:rPr>
                <w:rFonts w:ascii="Aptos" w:hAnsi="Aptos" w:eastAsia="Aptos" w:cs="Aptos"/>
                <w:color w:val="000000" w:themeColor="text1"/>
                <w:sz w:val="18"/>
                <w:szCs w:val="18"/>
              </w:rPr>
            </w:pPr>
            <w:r w:rsidRPr="0083644D">
              <w:rPr>
                <w:rFonts w:ascii="Aptos" w:hAnsi="Aptos" w:eastAsia="Aptos" w:cs="Aptos"/>
                <w:color w:val="000000" w:themeColor="text1"/>
                <w:sz w:val="18"/>
                <w:szCs w:val="18"/>
              </w:rPr>
              <w:t>KPMG could test routing rules that consider expected answer quality, cost, speed, data sensitivity, and risk. Higher-risk work should begin with centralized oversight, and teams should monitor whether the router is making good choices rather than assuming the cheapest or most confident option is correct. </w:t>
            </w:r>
          </w:p>
        </w:tc>
      </w:tr>
      <w:tr w:rsidRPr="0083644D" w:rsidR="0083644D" w:rsidTr="179570D7" w14:paraId="4CA94EE7" w14:textId="77777777">
        <w:trPr>
          <w:trHeight w:val="300"/>
        </w:trPr>
        <w:tc>
          <w:tcPr>
            <w:tcW w:w="1710" w:type="dxa"/>
            <w:tcBorders>
              <w:top w:val="single" w:color="B7C9D6" w:sz="6" w:space="0"/>
              <w:left w:val="single" w:color="B7C9D6" w:sz="6" w:space="0"/>
              <w:bottom w:val="single" w:color="B7C9D6" w:sz="6" w:space="0"/>
              <w:right w:val="single" w:color="B7C9D6" w:sz="6" w:space="0"/>
            </w:tcBorders>
            <w:shd w:val="clear" w:color="auto" w:fill="FFFFFF" w:themeFill="background1"/>
            <w:tcMar/>
            <w:vAlign w:val="center"/>
            <w:hideMark/>
          </w:tcPr>
          <w:p w:rsidRPr="0083644D" w:rsidR="0083644D" w:rsidP="0083644D" w:rsidRDefault="0083644D" w14:paraId="0B701C9A" w14:textId="77777777">
            <w:pPr>
              <w:rPr>
                <w:rFonts w:ascii="Aptos" w:hAnsi="Aptos" w:eastAsia="Aptos" w:cs="Aptos"/>
                <w:color w:val="000000" w:themeColor="text1"/>
                <w:sz w:val="18"/>
                <w:szCs w:val="18"/>
              </w:rPr>
            </w:pPr>
            <w:r w:rsidRPr="0083644D">
              <w:rPr>
                <w:rFonts w:ascii="Aptos" w:hAnsi="Aptos" w:eastAsia="Aptos" w:cs="Aptos"/>
                <w:b/>
                <w:bCs/>
                <w:color w:val="000000" w:themeColor="text1"/>
                <w:sz w:val="18"/>
                <w:szCs w:val="18"/>
              </w:rPr>
              <w:t>AI4AI-Bench: Benchmarking LLM Agents in Algorithmic Design for Recursive Self-Improvement</w:t>
            </w:r>
            <w:r w:rsidRPr="0083644D">
              <w:rPr>
                <w:rFonts w:ascii="Aptos" w:hAnsi="Aptos" w:eastAsia="Aptos" w:cs="Aptos"/>
                <w:color w:val="000000" w:themeColor="text1"/>
                <w:sz w:val="18"/>
                <w:szCs w:val="18"/>
              </w:rPr>
              <w:t> </w:t>
            </w:r>
          </w:p>
        </w:tc>
        <w:tc>
          <w:tcPr>
            <w:tcW w:w="3105" w:type="dxa"/>
            <w:tcBorders>
              <w:top w:val="single" w:color="B7C9D6" w:sz="6" w:space="0"/>
              <w:left w:val="single" w:color="B7C9D6" w:sz="6" w:space="0"/>
              <w:bottom w:val="single" w:color="B7C9D6" w:sz="6" w:space="0"/>
              <w:right w:val="single" w:color="B7C9D6" w:sz="6" w:space="0"/>
            </w:tcBorders>
            <w:shd w:val="clear" w:color="auto" w:fill="FFFFFF" w:themeFill="background1"/>
            <w:tcMar/>
            <w:vAlign w:val="center"/>
            <w:hideMark/>
          </w:tcPr>
          <w:p w:rsidRPr="0083644D" w:rsidR="0083644D" w:rsidP="0083644D" w:rsidRDefault="0083644D" w14:paraId="6705E868" w14:textId="77777777">
            <w:pPr>
              <w:rPr>
                <w:rFonts w:ascii="Aptos" w:hAnsi="Aptos" w:eastAsia="Aptos" w:cs="Aptos"/>
                <w:color w:val="000000" w:themeColor="text1"/>
                <w:sz w:val="18"/>
                <w:szCs w:val="18"/>
              </w:rPr>
            </w:pPr>
            <w:r w:rsidRPr="0083644D">
              <w:rPr>
                <w:rFonts w:ascii="Aptos" w:hAnsi="Aptos" w:eastAsia="Aptos" w:cs="Aptos"/>
                <w:color w:val="000000" w:themeColor="text1"/>
                <w:sz w:val="18"/>
                <w:szCs w:val="18"/>
              </w:rPr>
              <w:t>The researchers tested whether AI coding agents could improve the training methods used to build AI systems. Most agents changed settings such as training time or model size instead of changing how the model actually learns, and even the strongest system remained far from the benchmark’s best possible score. </w:t>
            </w:r>
          </w:p>
        </w:tc>
        <w:tc>
          <w:tcPr>
            <w:tcW w:w="2422" w:type="dxa"/>
            <w:tcBorders>
              <w:top w:val="single" w:color="B7C9D6" w:sz="6" w:space="0"/>
              <w:left w:val="single" w:color="B7C9D6" w:sz="6" w:space="0"/>
              <w:bottom w:val="single" w:color="B7C9D6" w:sz="6" w:space="0"/>
              <w:right w:val="single" w:color="B7C9D6" w:sz="6" w:space="0"/>
            </w:tcBorders>
            <w:shd w:val="clear" w:color="auto" w:fill="FFFFFF" w:themeFill="background1"/>
            <w:tcMar/>
            <w:vAlign w:val="center"/>
            <w:hideMark/>
          </w:tcPr>
          <w:p w:rsidRPr="0083644D" w:rsidR="0083644D" w:rsidP="0083644D" w:rsidRDefault="0083644D" w14:paraId="68B1BAEA" w14:textId="77777777">
            <w:pPr>
              <w:rPr>
                <w:rFonts w:ascii="Aptos" w:hAnsi="Aptos" w:eastAsia="Aptos" w:cs="Aptos"/>
                <w:color w:val="000000" w:themeColor="text1"/>
                <w:sz w:val="18"/>
                <w:szCs w:val="18"/>
              </w:rPr>
            </w:pPr>
            <w:r w:rsidRPr="0083644D">
              <w:rPr>
                <w:rFonts w:ascii="Aptos" w:hAnsi="Aptos" w:eastAsia="Aptos" w:cs="Aptos"/>
                <w:color w:val="000000" w:themeColor="text1"/>
                <w:sz w:val="18"/>
                <w:szCs w:val="18"/>
              </w:rPr>
              <w:t>The study is a reminder that producing a lot of code or spending more computing power does not automatically mean an AI agent has created a meaningful innovation. KPMG teams evaluating AI engineering tools need evidence that a change is real, repeatable, and better than the original approach. </w:t>
            </w:r>
          </w:p>
        </w:tc>
        <w:tc>
          <w:tcPr>
            <w:tcW w:w="2107" w:type="dxa"/>
            <w:tcBorders>
              <w:top w:val="single" w:color="B7C9D6" w:sz="6" w:space="0"/>
              <w:left w:val="single" w:color="B7C9D6" w:sz="6" w:space="0"/>
              <w:bottom w:val="single" w:color="B7C9D6" w:sz="6" w:space="0"/>
              <w:right w:val="single" w:color="B7C9D6" w:sz="6" w:space="0"/>
            </w:tcBorders>
            <w:shd w:val="clear" w:color="auto" w:fill="FFFFFF" w:themeFill="background1"/>
            <w:tcMar/>
            <w:vAlign w:val="center"/>
            <w:hideMark/>
          </w:tcPr>
          <w:p w:rsidRPr="0083644D" w:rsidR="0083644D" w:rsidP="0083644D" w:rsidRDefault="0083644D" w14:paraId="055C9ABF" w14:textId="77777777">
            <w:pPr>
              <w:rPr>
                <w:rFonts w:ascii="Aptos" w:hAnsi="Aptos" w:eastAsia="Aptos" w:cs="Aptos"/>
                <w:color w:val="000000" w:themeColor="text1"/>
                <w:sz w:val="18"/>
                <w:szCs w:val="18"/>
              </w:rPr>
            </w:pPr>
            <w:r w:rsidRPr="0083644D">
              <w:rPr>
                <w:rFonts w:ascii="Aptos" w:hAnsi="Aptos" w:eastAsia="Aptos" w:cs="Aptos"/>
                <w:color w:val="000000" w:themeColor="text1"/>
                <w:sz w:val="18"/>
                <w:szCs w:val="18"/>
              </w:rPr>
              <w:t>KPMG could require teams to state what kind of improvement they are claiming: faster execution, better data, different settings, or a new learning method. Claims should be tested by rerunning the changed code from a clean starting point, using the same baseline and a separate evaluation that the agent could not influence. </w:t>
            </w:r>
          </w:p>
        </w:tc>
      </w:tr>
      <w:tr w:rsidRPr="0083644D" w:rsidR="0083644D" w:rsidTr="179570D7" w14:paraId="75600723" w14:textId="77777777">
        <w:trPr>
          <w:trHeight w:val="300"/>
        </w:trPr>
        <w:tc>
          <w:tcPr>
            <w:tcW w:w="1710" w:type="dxa"/>
            <w:tcBorders>
              <w:top w:val="single" w:color="B7C9D6" w:sz="6" w:space="0"/>
              <w:left w:val="single" w:color="B7C9D6" w:sz="6" w:space="0"/>
              <w:bottom w:val="single" w:color="B7C9D6" w:sz="6" w:space="0"/>
              <w:right w:val="single" w:color="B7C9D6" w:sz="6" w:space="0"/>
            </w:tcBorders>
            <w:shd w:val="clear" w:color="auto" w:fill="EEF4F8"/>
            <w:tcMar/>
            <w:vAlign w:val="center"/>
            <w:hideMark/>
          </w:tcPr>
          <w:p w:rsidRPr="0083644D" w:rsidR="0083644D" w:rsidP="0083644D" w:rsidRDefault="0083644D" w14:paraId="1644D2A1" w14:textId="77777777">
            <w:pPr>
              <w:rPr>
                <w:rFonts w:ascii="Aptos" w:hAnsi="Aptos" w:eastAsia="Aptos" w:cs="Aptos"/>
                <w:color w:val="000000" w:themeColor="text1"/>
                <w:sz w:val="18"/>
                <w:szCs w:val="18"/>
              </w:rPr>
            </w:pPr>
            <w:r w:rsidRPr="0083644D">
              <w:rPr>
                <w:rFonts w:ascii="Aptos" w:hAnsi="Aptos" w:eastAsia="Aptos" w:cs="Aptos"/>
                <w:b/>
                <w:bCs/>
                <w:color w:val="000000" w:themeColor="text1"/>
                <w:sz w:val="18"/>
                <w:szCs w:val="18"/>
              </w:rPr>
              <w:t xml:space="preserve">G-CARL: Grounded Checklist-Aligned Reward Learning for </w:t>
            </w:r>
            <w:r w:rsidRPr="0083644D">
              <w:rPr>
                <w:rFonts w:ascii="Aptos" w:hAnsi="Aptos" w:eastAsia="Aptos" w:cs="Aptos"/>
                <w:b/>
                <w:bCs/>
                <w:color w:val="000000" w:themeColor="text1"/>
                <w:sz w:val="18"/>
                <w:szCs w:val="18"/>
              </w:rPr>
              <w:lastRenderedPageBreak/>
              <w:t>Patient-Oriented Medical Report Interpretation</w:t>
            </w:r>
            <w:r w:rsidRPr="0083644D">
              <w:rPr>
                <w:rFonts w:ascii="Aptos" w:hAnsi="Aptos" w:eastAsia="Aptos" w:cs="Aptos"/>
                <w:color w:val="000000" w:themeColor="text1"/>
                <w:sz w:val="18"/>
                <w:szCs w:val="18"/>
              </w:rPr>
              <w:t> </w:t>
            </w:r>
          </w:p>
        </w:tc>
        <w:tc>
          <w:tcPr>
            <w:tcW w:w="3105" w:type="dxa"/>
            <w:tcBorders>
              <w:top w:val="single" w:color="B7C9D6" w:sz="6" w:space="0"/>
              <w:left w:val="single" w:color="B7C9D6" w:sz="6" w:space="0"/>
              <w:bottom w:val="single" w:color="B7C9D6" w:sz="6" w:space="0"/>
              <w:right w:val="single" w:color="B7C9D6" w:sz="6" w:space="0"/>
            </w:tcBorders>
            <w:shd w:val="clear" w:color="auto" w:fill="EEF4F8"/>
            <w:tcMar/>
            <w:vAlign w:val="center"/>
            <w:hideMark/>
          </w:tcPr>
          <w:p w:rsidRPr="0083644D" w:rsidR="0083644D" w:rsidP="0083644D" w:rsidRDefault="0083644D" w14:paraId="695134BD" w14:textId="77777777">
            <w:pPr>
              <w:rPr>
                <w:rFonts w:ascii="Aptos" w:hAnsi="Aptos" w:eastAsia="Aptos" w:cs="Aptos"/>
                <w:color w:val="000000" w:themeColor="text1"/>
                <w:sz w:val="18"/>
                <w:szCs w:val="18"/>
              </w:rPr>
            </w:pPr>
            <w:r w:rsidRPr="0083644D">
              <w:rPr>
                <w:rFonts w:ascii="Aptos" w:hAnsi="Aptos" w:eastAsia="Aptos" w:cs="Aptos"/>
                <w:color w:val="000000" w:themeColor="text1"/>
                <w:sz w:val="18"/>
                <w:szCs w:val="18"/>
              </w:rPr>
              <w:lastRenderedPageBreak/>
              <w:t>The researchers trained an AI system to explain medical reports by checking two things separately: whether each medical statement was supported by evidence and whether the answer covered the patient’s specific needs. This approach performed better than methods that gave the entire answer one overall score, and clinicians preferred its responses in the study. </w:t>
            </w:r>
          </w:p>
        </w:tc>
        <w:tc>
          <w:tcPr>
            <w:tcW w:w="2422" w:type="dxa"/>
            <w:tcBorders>
              <w:top w:val="single" w:color="B7C9D6" w:sz="6" w:space="0"/>
              <w:left w:val="single" w:color="B7C9D6" w:sz="6" w:space="0"/>
              <w:bottom w:val="single" w:color="B7C9D6" w:sz="6" w:space="0"/>
              <w:right w:val="single" w:color="B7C9D6" w:sz="6" w:space="0"/>
            </w:tcBorders>
            <w:shd w:val="clear" w:color="auto" w:fill="EEF4F8"/>
            <w:tcMar/>
            <w:vAlign w:val="center"/>
            <w:hideMark/>
          </w:tcPr>
          <w:p w:rsidRPr="0083644D" w:rsidR="0083644D" w:rsidP="0083644D" w:rsidRDefault="0083644D" w14:paraId="6B613716" w14:textId="77777777">
            <w:pPr>
              <w:rPr>
                <w:rFonts w:ascii="Aptos" w:hAnsi="Aptos" w:eastAsia="Aptos" w:cs="Aptos"/>
                <w:color w:val="000000" w:themeColor="text1"/>
                <w:sz w:val="18"/>
                <w:szCs w:val="18"/>
              </w:rPr>
            </w:pPr>
            <w:r w:rsidRPr="0083644D">
              <w:rPr>
                <w:rFonts w:ascii="Aptos" w:hAnsi="Aptos" w:eastAsia="Aptos" w:cs="Aptos"/>
                <w:color w:val="000000" w:themeColor="text1"/>
                <w:sz w:val="18"/>
                <w:szCs w:val="18"/>
              </w:rPr>
              <w:t xml:space="preserve">The medical setting is specialized, but the quality-control idea can apply to KPMG’s Trusted AI work. A strong AI answer may need both factual accuracy and complete coverage of the user’s needs, and a single overall score can </w:t>
            </w:r>
            <w:r w:rsidRPr="0083644D">
              <w:rPr>
                <w:rFonts w:ascii="Aptos" w:hAnsi="Aptos" w:eastAsia="Aptos" w:cs="Aptos"/>
                <w:color w:val="000000" w:themeColor="text1"/>
                <w:sz w:val="18"/>
                <w:szCs w:val="18"/>
              </w:rPr>
              <w:lastRenderedPageBreak/>
              <w:t>hide a serious error or missing requirement. </w:t>
            </w:r>
          </w:p>
        </w:tc>
        <w:tc>
          <w:tcPr>
            <w:tcW w:w="2107" w:type="dxa"/>
            <w:tcBorders>
              <w:top w:val="single" w:color="B7C9D6" w:sz="6" w:space="0"/>
              <w:left w:val="single" w:color="B7C9D6" w:sz="6" w:space="0"/>
              <w:bottom w:val="single" w:color="B7C9D6" w:sz="6" w:space="0"/>
              <w:right w:val="single" w:color="B7C9D6" w:sz="6" w:space="0"/>
            </w:tcBorders>
            <w:shd w:val="clear" w:color="auto" w:fill="EEF4F8"/>
            <w:tcMar/>
            <w:vAlign w:val="center"/>
            <w:hideMark/>
          </w:tcPr>
          <w:p w:rsidRPr="0083644D" w:rsidR="0083644D" w:rsidP="0083644D" w:rsidRDefault="0083644D" w14:paraId="0B8B2D93" w14:textId="77777777">
            <w:pPr>
              <w:rPr>
                <w:rFonts w:ascii="Aptos" w:hAnsi="Aptos" w:eastAsia="Aptos" w:cs="Aptos"/>
                <w:color w:val="000000" w:themeColor="text1"/>
                <w:sz w:val="18"/>
                <w:szCs w:val="18"/>
              </w:rPr>
            </w:pPr>
            <w:r w:rsidRPr="0083644D">
              <w:rPr>
                <w:rFonts w:ascii="Aptos" w:hAnsi="Aptos" w:eastAsia="Aptos" w:cs="Aptos"/>
                <w:color w:val="000000" w:themeColor="text1"/>
                <w:sz w:val="18"/>
                <w:szCs w:val="18"/>
              </w:rPr>
              <w:lastRenderedPageBreak/>
              <w:t xml:space="preserve">For high-impact use cases, KPMG could break an AI response into individual claims, check those claims against approved sources, and use a short, case-specific </w:t>
            </w:r>
            <w:r w:rsidRPr="0083644D">
              <w:rPr>
                <w:rFonts w:ascii="Aptos" w:hAnsi="Aptos" w:eastAsia="Aptos" w:cs="Aptos"/>
                <w:color w:val="000000" w:themeColor="text1"/>
                <w:sz w:val="18"/>
                <w:szCs w:val="18"/>
              </w:rPr>
              <w:lastRenderedPageBreak/>
              <w:t>checklist for required points and prohibited behaviors. Subject-matter experts should design and review the checklist, especially where inaccurate or incomplete advice could cause harm. </w:t>
            </w:r>
          </w:p>
        </w:tc>
      </w:tr>
    </w:tbl>
    <w:p w:rsidR="0083644D" w:rsidP="10A0D209" w:rsidRDefault="0083644D" w14:paraId="1B0BB807" w14:textId="77777777">
      <w:pPr>
        <w:rPr>
          <w:rFonts w:ascii="Aptos" w:hAnsi="Aptos" w:eastAsia="Aptos" w:cs="Aptos"/>
          <w:color w:val="000000" w:themeColor="text1"/>
          <w:sz w:val="18"/>
          <w:szCs w:val="18"/>
        </w:rPr>
      </w:pPr>
    </w:p>
    <w:p w:rsidR="009A7667" w:rsidP="10A0D209" w:rsidRDefault="6D59B65F" w14:paraId="2C078E63" w14:textId="5E7ECAAC">
      <w:pPr>
        <w:spacing w:before="140"/>
        <w:rPr>
          <w:rFonts w:ascii="Aptos" w:hAnsi="Aptos" w:eastAsia="Aptos" w:cs="Aptos"/>
          <w:color w:val="000000" w:themeColor="text1"/>
          <w:sz w:val="18"/>
          <w:szCs w:val="18"/>
        </w:rPr>
      </w:pPr>
      <w:r w:rsidRPr="10A0D209">
        <w:rPr>
          <w:rFonts w:ascii="Aptos" w:hAnsi="Aptos" w:eastAsia="Aptos" w:cs="Aptos"/>
          <w:b/>
          <w:bCs/>
          <w:color w:val="00366C"/>
          <w:sz w:val="18"/>
          <w:szCs w:val="18"/>
        </w:rPr>
        <w:t xml:space="preserve">Student prompt: </w:t>
      </w:r>
      <w:r w:rsidRPr="10A0D209">
        <w:rPr>
          <w:rFonts w:ascii="Aptos" w:hAnsi="Aptos" w:eastAsia="Aptos" w:cs="Aptos"/>
          <w:color w:val="000000" w:themeColor="text1"/>
          <w:sz w:val="18"/>
          <w:szCs w:val="18"/>
        </w:rPr>
        <w:t>For each paper, identify the evidence actually demonstrated, explain why it matters to a KPMG client or internal capability, and propose an action that is proportionate to the evidence and its limitations.</w:t>
      </w:r>
    </w:p>
    <w:sectPr w:rsidR="009A766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A2D5CA"/>
    <w:rsid w:val="001005D2"/>
    <w:rsid w:val="002267A7"/>
    <w:rsid w:val="005156D9"/>
    <w:rsid w:val="0083644D"/>
    <w:rsid w:val="00953D8D"/>
    <w:rsid w:val="00992EED"/>
    <w:rsid w:val="009A7667"/>
    <w:rsid w:val="009E56A4"/>
    <w:rsid w:val="00BE4029"/>
    <w:rsid w:val="00C17332"/>
    <w:rsid w:val="00C94F42"/>
    <w:rsid w:val="00D8318D"/>
    <w:rsid w:val="00FB508B"/>
    <w:rsid w:val="10A0D209"/>
    <w:rsid w:val="179570D7"/>
    <w:rsid w:val="31648AA5"/>
    <w:rsid w:val="46D50CB9"/>
    <w:rsid w:val="6D59B65F"/>
    <w:rsid w:val="71A2D5CA"/>
    <w:rsid w:val="71B4D5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D4252"/>
  <w15:chartTrackingRefBased/>
  <w15:docId w15:val="{0D51DA6C-5CBA-4163-8A55-3057DE57C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10A0D209"/>
    <w:pPr>
      <w:spacing w:after="80" w:line="240" w:lineRule="auto"/>
      <w:contextualSpacing/>
    </w:pPr>
    <w:rPr>
      <w:rFonts w:asciiTheme="majorHAnsi" w:hAnsiTheme="majorHAnsi" w:eastAsiaTheme="majorEastAsia" w:cstheme="majorBidi"/>
      <w:sz w:val="56"/>
      <w:szCs w:val="56"/>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6da81dcc-8243-4f8f-ac21-7f0b261da027" xsi:nil="true"/>
    <_ip_UnifiedCompliancePolicyProperties xmlns="http://schemas.microsoft.com/sharepoint/v3" xsi:nil="true"/>
    <lcf76f155ced4ddcb4097134ff3c332f xmlns="ae2d611d-7192-4805-8131-aced82de160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06EA0E02BAEE47BA6CE3AAEEC4904E" ma:contentTypeVersion="22" ma:contentTypeDescription="Create a new document." ma:contentTypeScope="" ma:versionID="75d3221950d610c635a7b0ffc2be66ff">
  <xsd:schema xmlns:xsd="http://www.w3.org/2001/XMLSchema" xmlns:xs="http://www.w3.org/2001/XMLSchema" xmlns:p="http://schemas.microsoft.com/office/2006/metadata/properties" xmlns:ns1="http://schemas.microsoft.com/sharepoint/v3" xmlns:ns2="ae2d611d-7192-4805-8131-aced82de1607" xmlns:ns3="6da81dcc-8243-4f8f-ac21-7f0b261da027" targetNamespace="http://schemas.microsoft.com/office/2006/metadata/properties" ma:root="true" ma:fieldsID="fcb688e9de34e3463ee8699b5bfbde73" ns1:_="" ns2:_="" ns3:_="">
    <xsd:import namespace="http://schemas.microsoft.com/sharepoint/v3"/>
    <xsd:import namespace="ae2d611d-7192-4805-8131-aced82de1607"/>
    <xsd:import namespace="6da81dcc-8243-4f8f-ac21-7f0b261da02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element ref="ns2:MediaServiceDateTaken" minOccurs="0"/>
                <xsd:element ref="ns2:MediaServiceSearchProperties" minOccurs="0"/>
                <xsd:element ref="ns2:lcf76f155ced4ddcb4097134ff3c332f" minOccurs="0"/>
                <xsd:element ref="ns3:TaxCatchAll" minOccurs="0"/>
                <xsd:element ref="ns2:MediaServiceOCR" minOccurs="0"/>
                <xsd:element ref="ns2:MediaServiceLocation"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2d611d-7192-4805-8131-aced82de16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a81dcc-8243-4f8f-ac21-7f0b261da02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8b6fb-6bee-40a9-aaa0-00feeb788aba}" ma:internalName="TaxCatchAll" ma:showField="CatchAllData" ma:web="6da81dcc-8243-4f8f-ac21-7f0b261da0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DFDC15-C1FF-440D-B758-E163CD33CC17}">
  <ds:schemaRefs>
    <ds:schemaRef ds:uri="http://schemas.microsoft.com/sharepoint/v3/contenttype/forms"/>
  </ds:schemaRefs>
</ds:datastoreItem>
</file>

<file path=customXml/itemProps2.xml><?xml version="1.0" encoding="utf-8"?>
<ds:datastoreItem xmlns:ds="http://schemas.openxmlformats.org/officeDocument/2006/customXml" ds:itemID="{1E388832-6671-4879-9E9D-AED4DE553E9A}">
  <ds:schemaRefs>
    <ds:schemaRef ds:uri="http://schemas.microsoft.com/office/2006/metadata/properties"/>
    <ds:schemaRef ds:uri="http://schemas.microsoft.com/office/infopath/2007/PartnerControls"/>
    <ds:schemaRef ds:uri="http://schemas.microsoft.com/sharepoint/v3"/>
    <ds:schemaRef ds:uri="6da81dcc-8243-4f8f-ac21-7f0b261da027"/>
    <ds:schemaRef ds:uri="ae2d611d-7192-4805-8131-aced82de1607"/>
  </ds:schemaRefs>
</ds:datastoreItem>
</file>

<file path=customXml/itemProps3.xml><?xml version="1.0" encoding="utf-8"?>
<ds:datastoreItem xmlns:ds="http://schemas.openxmlformats.org/officeDocument/2006/customXml" ds:itemID="{3ADF77C6-A248-473F-92F2-90AD4A7D3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2d611d-7192-4805-8131-aced82de1607"/>
    <ds:schemaRef ds:uri="6da81dcc-8243-4f8f-ac21-7f0b261da0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Jeter, Agnieszka</dc:creator>
  <keywords/>
  <dc:description/>
  <lastModifiedBy>Jeter, Agnieszka</lastModifiedBy>
  <revision>8</revision>
  <dcterms:created xsi:type="dcterms:W3CDTF">2026-09-17T00:04:00.0000000Z</dcterms:created>
  <dcterms:modified xsi:type="dcterms:W3CDTF">2026-10-01T01:14:30.8366311Z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0x010100C706EA0E02BAEE47BA6CE3AAEEC4904E</vt:lpwstr>
  </property>
  <property fmtid="{D5CDD505-2E9C-101B-9397-08002B2CF9AE}" pid="3" name="MediaServiceImageTags">
    <vt:lpwstr/>
  </property>
</Properties>
</file>