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(doc-0001)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matter comes before the Alaska Superior Court, Family Division, on the petition of Ashley Colby for dissolution of her marriage to Sarah Colby. The parties were married in Anchorage, Alaska in 2015 and are the parents of two minor children, ages six and nine. The marriage has suffered an irremediable breakdown due to persistent financial conflicts and fundamentally incompatible parenting philosophies. Ashley Colby, as petitioner, respectfully submits this brief in support of her proposed parenting plan, child support calculation, and property division. The issues before the Court involve the physical custody arrangement for the two minor children, the calculation of child support pursuant to Alaska Civil Rule 90.3, and the equitable distribution of the marital estate, including the allocation of marital debt. Petitioner respectfully requests that the Court enter a judgment of dissolution consistent with the terms set forth herein, all of which are grounded in applicable Alaska law and designed to serve the best interests of the children and fairly allocate the economic consequences of this dissolution.</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Colby and Sarah Colby were married in Anchorage, Alaska in 2015. The marriage produced two children, currently ages six and nine, both of whom are minors within the meaning of Alaska law. The couple's marriage deteriorated over the course of approximately two years preceding the filing of this petition, as a result of ongoing and unresolved conflicts regarding financial decision-making and deeply incompatible approaches to parenting. These conflicts have proven irremediable, and incompatibility of temperament has caused the breakdown of the marital relationship.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Colby is employed as a registered nurse and earns approximately $62,000 annually. Sarah Colby is employed as a petroleum engineer and earns approximately $95,000 annually. The parties' respective incomes are relevant both to the child support calculation and to the equitable allocation of marital debt.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consists of the jointly owned family home in Anchorage with an estimated equity of $140,000, two vehicles, a shared savings account, and approximately $28,000 in credit card debt. The family home has served as the primary residence of the children throughout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proposes a custody arrangement in which the two minor children reside primarily with her during the school week. Sarah would have alternating weekend visitation and an extended summer parenting period of six consecutive weeks. The parties have agreed to share legal custody and to make all major decisions jointly concerning the children's education, healthcare, and general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requests that child support be calculated pursuant to Alaska Civil Rule 90.3, based on Sarah's income as the non-custodial parent under the proposed primary physical custody arrangement. Ashley further requests an equal division of marital assets and asks that Sarah assume primary responsibility for the approximately $28,000 in credit card debt, given her substantially greater earning capacity.</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courts resolve dissolution proceedings pursuant to AS 25.24.946 and related statutes. A petition for dissolution may be granted where incompatibility of temperament has caused the irremediable breakdown of the marriage and where the parties have reached agreement, or where the court determines after examination, on the terms of custody, support, property division, and debt allocation. AS 25.24.200; AS 25.24.220.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paramount consideration in all custody matters is the best interests of the children. AS 25.20.070 establishes that, unless detrimental to the child's welfare, the child shall have, to the greatest degree practical, equal access to both parents during the pendency of custody proceedings. Courts examine parenting agreements with particular care when minor children are involved. AS 25.24.220(h).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in Alaska is governed by Civil Rule 90.3. Where one parent is awarded primary physical custody, child support is calculated as the non-custodial parent's adjusted annual income multiplied by the applicable percentage under Civil Rule 907(a)(2). For two children, that percentage is 27 percent. Civil Rule 90.3(a)(2)(B). The definitions of physical custody arrangements are set forth in Civil Rule 90.3(f).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division of marital property at dissolution is governed by AS 25.24.160, which requires the court to divide marital property in a just manner, without regard to fault, and to fairly allocate the economic effect of divorce by considering enumerated statutory factors. AS 25.24.160(a)(4). Spousal maintenance, if awarded, must also fairly allocate the economic effect of dissolution based on the factors set forth in AS 25.24.160(a)(2). Courts in Alaska have expressed a preference for resolving the financial consequences of divorce through property division rather than maintenance awards. Ruppe v. Ruppe, 358 P.3d 1284 (Alaska 2015).</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PROPOSED PRIMARY PHYSICAL CUSTODY ARRANGEMENT IS IN THE BEST INTERESTS OF THE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parenting plan provides that the two minor children will reside primarily with Ashley Colby during the school week, with Sarah Colby exercising alternating weekend visitation and a six-consecutive-week extended summer parenting period. The parties have agreed to joint legal custody, under which all major decisions regarding the children's education, health, and general welfare will be made jointly. This arrangement serves the best interests of the children and should be approved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requires the Court to examine whether proposed custody agreements are just and in the best interests of the children of the marriage. AS 25.24.220(d)(2). The proposed arrangement provides stability and continuity of care during the school year by maintaining a consistent primary residence, while simultaneously ensuring that the children have meaningful and substantial time with both parents. AS 25.20.070 reflects Alaska's strong policy that children shall have, to the greatest degree practical, equal access to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six-week summer parenting period afforded to Sarah is substantial and meaningful. Civil Rule 90.3(a)(3) acknowledges that an obligor parent may receive a credit for extended visitation of over 27 consecutive days, though the Court retains discretion in applying that credit. The summer period proposed here, at six consecutive weeks, approaches but does not reach the 30-percent threshold that would convert the arrangement from primary physical custody to shared physical custody under Civil Rule 90.3(f)(2). Under Civil Rule 90.3(f)(2), primary physical custody exists where the children reside with the non-custodial parent for less than 30 percent of the year. Six weeks represents approximately 11.5 percent of the calendar year, well within the primary custody definition.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Joint legal custody is appropriate here because both parties have demonstrated an ongoing commitment to the children's education, healthcare, and general welfare, and because the parties have agreed to this arrangement. The Alaska Supreme Court has recognized that a court must independently assess whether custody arrangements serve the children's interests. Faulkner v. Goldfuss, 46 P.3d 993 (Alaska 2002). The arrangement proposed by Ashley accomplishes this goal by preserving meaningful parental relationships with both parents while providing the children with a stable primary home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 SHOULD BE CALCULATED PURSUANT TO CIVIL RULE 90.3 BASED ON SARAH COLBY'S ADJUSTED ANNUAL INCOME AS THE NON-CUSTODIAL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the children will reside primarily with Ashley Colby under the proposed parenting plan, Sarah Colby is the non-custodial parent for purposes of child support calculation. Civil Rule 90.3(a) provides that in a case where one parent is awarded primary physical custody, child support "will be calculated as an amount equal to the adjusted annual income of the non-custodial parent multiplied by a percentage specified in subparagraph (a)(2) under all circumstances." For two children, that multiplier is 27 percent.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Colby earns approximately $95,000 annually as a petroleum engineer. Her adjusted annual income under Civil Rule 90.3(a)(1) is determined by reducing her gross income by mandatory deductions, including federal, state, and local income taxes, Social Security tax, Medicare tax, mandatory union dues, and mandatory retirement contributions. Civil Rule 90.3(a)(1)(A). Voluntary contributions to tax-deferred retirement accounts are also deductible, subject to the 7.5-percent cap established by Civil Rule 90.3(a)(1)(B). Health insurance premiums paid by Sarah for her own coverage are deductible up to 10 percent of total income under Civil Rule 90.3(a)(1)(F). Work-related childcare expenses for the children who are the subject of this order are also deductible. Civil Rule 90.3(a)(1)(E).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Colby respectfully requests that the Court require both parties to submit Civil Rule 90.3 affidavits disclosing income and applicable deductions so that the Court may determine Sarah's adjusted annual income with precision. Based on a gross annual income of $95,000 and applying applicable deductions, Sarah's adjusted annual income is estimated to be in the range that, when multiplied by 27 percent for two children, will produce a monthly support obligation substantially greater than what Ashley earns in comparable disposable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affirmed that the purpose of child support is to serve the needs of the children, and that the Rule 90.3 formula is designed to produce a realistic estimate of the non-custodial parent's capacity to contribute to those needs. Ronny M. v. Nanette H., 303 P.3d 392 (Alaska 2013). The Court further recognized in Bunn v. House, 934 P.2d 753 (Alaska 1997), that the shared custody formula under Civil Rule 913(b) is distinct and applicable only when the threshold custody time requirements are met. Because the proposed arrangement here falls within primary physical custody as defined by Civil Rule 90.3(f)(2), the straightforward primary custody formula under Civil Rule 90.3(a) applies.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the Court find that Sarah's summer parenting time, combined with alternating weekends, approaches a level of physical custody that more accurately reflects shared responsibility for the children's direct expenses, the Court retains authority under Civil Rule 90.3(b) to apply the shared custody formula. Under Civil Rule 90.3(b)(1), shared physical custody support is calculated by determining what each parent would owe under Civil Rule 90.3(a), multiplying each figure by the percentage of time the other parent has physical custody, and computing the net difference multiplied by 1.5. Rowen v. Rowen, 963 P.2d 249 (Alaska 1998). However, because the proposed parenting plan does not grant Sarah at least 30 percent of overnights per year, the primary custody formula controls at this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also has authority under Civil Rule 90.3(a)(4) to impute potential income to a parent who is voluntarily and unreasonably unemployed or underemployed. No such imputation is sought here, as both parties are employed in professional capacities.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MARITAL ESTATE SHOULD BE DIVIDED EQUALLY, AND SARAH COLBY SHOULD ASSUME PRIMARY RESPONSIBILITY FOR THE MARITAL CREDIT CARD DEBT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25.24.160(a)(4) requires the Court to divide marital property in a just manner without regard to fault, fairly allocating the economic effect of divorce based on enumerated statutory factors. Those factors include: the length of the marriage and station in life of the parties during the marriage; the age and health of the parties; the earning capacity of the parties, including their educational backgrounds, training, employment skills, and custodial responsibilities; the financial condition of the parties, including the availability and cost of health insurance; the conduct of the parties, including whether there has been unreasonable depletion of marital assets; the desirability of awarding the family home or the right to live in it to the party with primary physical custody of the children; the circumstances and necessities of each party; the time and manner of acquisition of the property; and the income-producing capacity of the property and the value of the property at the time of division. AS 25.24.160(a)(4)(A)-(I).</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here consists of the jointly owned family home with approximately $140,000 in equity, two vehicles, a shared savings account, and approximately $28,000 in credit card debt. Ashley requests an equal division of the positive marital assets, which is the presumptive starting point under Alaska law. Marine v. Marine, 957 P.2d 314 (Alaska 1998).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the family home, the Court should consider the desirability of awarding the family home, or the right to live in it for a reasonable period, to the party who has primary physical custody of the children. AS 25.24.160(a)(4)(F). Ashley, as the proposed primary physical custodian of the two minor children ages six and nine, has a compelling interest in maintaining the stability of the family home environment for the children during the school year. The Court may award Ashley the right to reside in the home for a reasonable period or, in the alternative, order that the home be sold and the equity divided equally. Either approach produces a just result consistent with the statutory framework.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the $28,000 in credit card debt, Ashley requests that the Court assign primary responsibility for this debt to Sarah. This request is grounded in the statutory factors of earning capacity and financial condition. AS 25.24.160(a)(4)(A), (C), (D). Sarah earns approximately $95,000 per year as a petroleum engineer, compared to Ashley's approximately $62,000 per year as a registered nurse. The disparity of approximately $33,000 in annual gross income represents a significant difference in financial capacity. Requiring Sarah to assume the marital debt is consistent with a just allocation of the economic effect of dissolution, as required by AS 25.24.160, and does not constitute a penalty for fault but rather a recognition of the parties' differing financial circumstances and capacities.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note that the allocation of debt to Sarah, in conjunction with an equal division of marital assets, results in an overall distribution that fairly reflects the statutory factors and does not leave Ashley without the financial resources to meet her own needs and the needs of the children in her primary care. Ruppe v. Ruppe, 358 P.3d 1284 (Alaska 2015), reinforces that property division and support serve distinct purposes, and that courts should seek to resolve the financial consequences of divorce through the property division to the greatest extent practicable. Assigning the debt to Sarah in light of her greater earning capacity accomplishes precisely this objective.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DISSOLUTION PETITION SATISFIES THE STATUTORY REQUIREMENTS OF AS 25.24.200 AND AS 25.24.220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petition for dissolution satisfies the conditions of AS 25.24.200. Incompatibility of temperament, evidenced by two years of unresolved conflict over financial management and parenting philosophy, has caused the irremediable breakdown of the marriage. The parties have agreed on joint legal custody, and Ashley's proposed primary physical custody arrangement addresses the children's care comprehensively. The petition sets forth the proposed distribution of real and personal property, the allocation of marital debt, and the terms of child support. AS 25.24.200(a)(2)-(4).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hearing required by AS 25.24.220, the Court will examine the petitioner and assess whether both parties fully understand the nature and consequences of their action, whether the child custody and support agreements are just and in the best interests of the children, and whether the property and debt allocation agreements fairly allocate the economic effect of dissolution. AS 25.24.220(d)(1)-(3). The Court must apply heightened scrutiny where minor children are involved. AS 25.24.220(h)(3). Ashley welcomes that scrutiny, as the arrangements proposed herein are designed, in their totality, to protect the children's interests and to produce a fair economic outcome for both parties.</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Ashley Colby respectfully requests that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Grant the petition for dissolution of the marriage of Ashley Colby and Sarah Colby;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Approve the proposed parenting plan granting Ashley Colby primary physical custody of the two minor children during the school week, with Sarah Colby receiving alternating weekend visitation and a six-week extended summer parenting period, and with both parties sharing joint legal custody;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Order Sarah Colby to pay child support calculated pursuant to Civil Rule 90.3(a) based on her adjusted annual income as the non-custodial parent, with application of the 27-percent multiplier applicable to two children under Civil Rule 90.3(a)(2)(B), upon submission and review of both parties' Civil Rule 90.3 affidavits;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Order an equal division of the marital estate, including the equity in the family home, the two vehicles, and the shared savings account, with appropriate consideration given to the desirability of awarding Ashley Colby the right to reside in the family home during the period of the children's minority pursuant to AS 25.24.160(a)(4)(F);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Order Sarah Colby to assume primary responsibility for the approximately $28,000 in marital credit card debt, in light of her substantially greater earning capacity and the requirements of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just and proper resolution of this matter will serve the best interests of the two minor children and fairly allocate the economic consequences of this dissolution between the parties.</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2026-08-14T23:57:52.238Z</dcterms:created>
  <dcterms:modified xsi:type="dcterms:W3CDTF">2026-08-14T23:57:52.238Z</dcterms:modified>
</cp:coreProperties>
</file>

<file path=docProps/custom.xml><?xml version="1.0" encoding="utf-8"?>
<Properties xmlns="http://schemas.openxmlformats.org/officeDocument/2006/custom-properties" xmlns:vt="http://schemas.openxmlformats.org/officeDocument/2006/docPropsVTypes"/>
</file>