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line="240"/>
        <w:jc w:val="center"/>
      </w:pPr>
      <w:r>
        <w:rPr>
          <w:rFonts w:ascii="Times New Roman" w:cs="Times New Roman" w:eastAsia="Times New Roman" w:hAnsi="Times New Roman"/>
          <w:b/>
          <w:bCs/>
          <w:sz w:val="24"/>
          <w:szCs w:val="24"/>
        </w:rPr>
        <w:t xml:space="preserve">IN THE SUPERIOR COURT FOR THE STATE OF ALASKA</w:t>
      </w:r>
    </w:p>
    <w:p>
      <w:pPr>
        <w:spacing w:after="0" w:before="0" w:line="240"/>
        <w:jc w:val="center"/>
      </w:pPr>
      <w:r>
        <w:rPr>
          <w:rFonts w:ascii="Times New Roman" w:cs="Times New Roman" w:eastAsia="Times New Roman" w:hAnsi="Times New Roman"/>
          <w:b/>
          <w:bCs/>
          <w:sz w:val="24"/>
          <w:szCs w:val="24"/>
        </w:rPr>
        <w:t xml:space="preserve">THIRD JUDICIAL DISTRICT</w:t>
      </w:r>
    </w:p>
    <w:p>
      <w:pPr>
        <w:spacing w:line="240"/>
      </w:pPr>
      <w:r>
        <w:rPr>
          <w:rFonts w:ascii="Times New Roman" w:cs="Times New Roman" w:eastAsia="Times New Roman" w:hAnsi="Times New Roman"/>
          <w:b w:val="false"/>
          <w:bCs w:val="false"/>
          <w:sz w:val="24"/>
          <w:szCs w:val="24"/>
        </w:rPr>
        <w:t xml:space="preserve"/>
      </w:r>
    </w:p>
    <w:p>
      <w:pPr>
        <w:spacing w:after="0" w:before="0" w:line="240"/>
        <w:jc w:val="center"/>
      </w:pPr>
      <w:r>
        <w:rPr>
          <w:rFonts w:ascii="Times New Roman" w:cs="Times New Roman" w:eastAsia="Times New Roman" w:hAnsi="Times New Roman"/>
          <w:b w:val="false"/>
          <w:bCs w:val="false"/>
          <w:sz w:val="24"/>
          <w:szCs w:val="24"/>
        </w:rPr>
        <w:t xml:space="preserve">PETITIONER, Petitioner, vs. RESPONDENT, Respondent.</w:t>
      </w:r>
    </w:p>
    <w:p>
      <w:pPr>
        <w:spacing w:line="240"/>
      </w:pPr>
      <w:r>
        <w:rPr>
          <w:rFonts w:ascii="Times New Roman" w:cs="Times New Roman" w:eastAsia="Times New Roman" w:hAnsi="Times New Roman"/>
          <w:b w:val="false"/>
          <w:bCs w:val="false"/>
          <w:sz w:val="24"/>
          <w:szCs w:val="24"/>
        </w:rPr>
        <w:t xml:space="preserve"/>
      </w:r>
    </w:p>
    <w:p>
      <w:pPr>
        <w:spacing w:after="0" w:before="0" w:line="240"/>
        <w:jc w:val="center"/>
      </w:pPr>
      <w:r>
        <w:rPr>
          <w:rFonts w:ascii="Times New Roman" w:cs="Times New Roman" w:eastAsia="Times New Roman" w:hAnsi="Times New Roman"/>
          <w:b/>
          <w:bCs/>
          <w:sz w:val="24"/>
          <w:szCs w:val="24"/>
        </w:rPr>
        <w:t xml:space="preserve">DIVORCE/DISSOLUTION FILING INVOLVING MINOR CHILDREN</w:t>
      </w:r>
    </w:p>
    <w:p>
      <w:pPr>
        <w:spacing w:after="0" w:before="0" w:line="240"/>
        <w:jc w:val="center"/>
      </w:pPr>
      <w:r>
        <w:rPr>
          <w:rFonts w:ascii="Times New Roman" w:cs="Times New Roman" w:eastAsia="Times New Roman" w:hAnsi="Times New Roman"/>
          <w:b w:val="false"/>
          <w:bCs w:val="false"/>
          <w:sz w:val="24"/>
          <w:szCs w:val="24"/>
        </w:rPr>
        <w:t xml:space="preserve">(doc-0002)</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I. INTRODUCTION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This matter comes before the Alaska Superior Court on the petition of Priya Larsen (hereinafter "Petitioner") for dissolution of her marriage to Colin Larsen (hereinafter "Respondent"). The parties were married in Anchorage, Alaska in 2014 and have two minor children, currently ages six and nine. The marriage broke down in early 2023 due to Colin Larsen's prolonged absences for remote work on the North Slope, financial stress, and irreconcilable differences between the parties. Petitioner submits this brief in support of the proposed dissolution agreement, addressing child custody, child support calculated pursuant to Civil Rule 90.3, and equitable distribution of the marital estate, including the family home in Eagle River, joint savings, vehicles, and outstanding marital debts. The parties have reached a tentative agreement on all material terms, and Petitioner respectfully requests that the Court enter a final decree of dissolution consistent with those terms and the requirements of Alaska law.</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II. STATEMENT OF FACTS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Priya Larsen and Colin Larsen were married in Anchorage, Alaska in 2014. Two children were born of the marriage: a nine-year-old child and a six-year-old child, both of whom are minors for purposes of this proceeding. In early 2023, the marriage experienced an irremediable breakdown caused by Colin Larsen's extended and repeated absences from the family home due to remote employment on the North Slope, compounding financial stress, and irreconcilable differences that rendered the continuation of the marital relationship impossible. No reconciliation is anticipated, and both parties acknowledge that incompatibility of temperament has caused the permanent breakdown of the marriage.</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Following separation, Priya Larsen has remained in the former marital home located in Eagle River, Alaska, where she has been the primary caregiver for the couple's two children. Colin Larsen now resides in a rented apartment in Wasilla, Alaska. The parties have engaged in good-faith negotiations and have reached a tentative agreement on the major issues of custody, child support, property division, and debt allocation, as described below.</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With respect to custody, the parties have agreed to joint legal custody of both minor children. The children will reside primarily with Priya Larsen at the Eagle River home during the school year. Colin Larsen will have parenting time on alternating weekends and for six consecutive weeks during each summer. This arrangement is designed to serve the best interests of the children by maintaining stability in their school environment while preserving a meaningful and consistent relationship with their father.</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With respect to child support, Colin Larsen earns approximately $7,800 in gross monthly income. Based on his adjusted annual income and the applicable guidelines, the parties have agreed that Colin Larsen will pay $1,450 per month in child support for the two minor children.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marital estate consists of the following assets: the Eagle River family home, currently valued at approximately $295,000 with a remaining mortgage balance of approximately $210,000, yielding roughly $85,000 in equity; a joint savings account containing approximately $18,000; and two vehicles. Priya Larsen seeks to retain the family home and one vehicle. Colin Larsen will retain the second vehicle and receive an equalized share of the home equity through a deferred buyout arrangement. Outstanding marital debts include approximately $24,000 in combined credit card balances and a personal loan of approximately $9,500, for a total marital debt of approximately $33,500. The parties have agreed to divide these debts equally, with each spouse assuming responsibility for specific accounts to be itemized in the final dissolution decree.</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III. LEGAL STANDARD</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Alaska law provides a streamlined process for the dissolution of marriage by mutual petition. Under AS 25.24.200, a husband and wife together may petition the superior court for dissolution of their marriage if, among other conditions, incompatibility of temperament has caused the irremediable breakdown of the marriage, the parties have agreed on child custody, visitation, and support, and the parties have agreed as to the distribution of all property and the payment of all unpaid obligations. When minor children are involved, the court applies a heightened level of scrutiny to ensure that the agreements reached are just and serve the best interests of the children. AS 25.24.220(h).</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For a dissolution petition filed by both spouses, the court may grant a final decree only upon finding, among other things, that the written agreements concerning child custody, child support, and visitation are in the best interests of the children and just as between the spouses; that the division of property and allocation of debts are fair and just; and that the spousal maintenance and property division fairly allocate the economic effect of dissolution by considering the factors enumerated in AS 25.24.160(a)(2) and (4). AS 25.24.230(a); AS 25.24.230(b).</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Child support is governed by Civil Rule 90.3. In cases of primary physical custody, the support award is calculated by multiplying the non-custodial parent's adjusted annual income by the applicable percentage set forth in Civil Rule 90.3(a)(2). For two children, that percentage is 27 percent. Civil Rule 90.3(a)(2)(B). Adjusted annual income is the parent's total income from all sources minus certain mandatory and voluntary deductions enumerated in Civil Rule 90.3(a)(1). Where shared physical custody applies, Civil Rule 90.3(b) provides an alternative formula accounting for each parent's income and the proportion of time each parent has physical custody of the children.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Property division in divorce and dissolution proceedings is governed by AS 25.24.160. The court must divide property in a just manner, considering factors including the length of the marriage, the age and health of the parties, the earning capacity of each party, the financial condition of the parties, the desirability of awarding the family home to the party with primary physical custody of the children, the circumstances and necessities of each party, the time and manner of acquisition of the property, and the income-producing capacity of the property. AS 25.24.160(a)(4).</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Alaska Supreme Court has addressed property division and spousal support in the dissolution context in a line of decisions. In Ruppe v. Ruppe, 358 P.3d 1284 (Alaska 2015), the court addressed the relationship between property division and spousal maintenance and emphasized that these two forms of economic relief serve distinct purposes in fairly allocating the economic effect of dissolution. In Sandberg v. Sandberg, 322 P.3d 879 (Alaska 2014), the court examined the degree of scrutiny applicable to pro se dissolution proceedings, particularly where one party appears without counsel, and underscored the importance of ensuring that agreements are voluntary and fair. In Hockema v. Hockema, 403 P.3d 1080 (Alaska 2017), the court affirmed a superior court's discretionary approach to structuring property equalization payments over time where immediate payment would have caused hardship. In Sharon Thompson v. Everett Thompson, 454 P.3d 981 (Alaska 2019), the court affirmed the methodology for calculating adjusted annual income for child support purposes under Civil Rule 90.3, including the treatment of fluctuating income. In Laughlin v. Laughlin, 229 P.3d 1002 (Alaska 2010), the court reaffirmed that child support must be calculated in conformity with Rule 90.3 and that departures from the formula require express findings of unusual circumstances. In Osterkamp v. Stiles, 235 P.3d 178 (Alaska 2010), the court examined equitable considerations in property division, including the treatment of debts and the allocation of credit for contributions made by one party during the marriage.</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IV. ARGUMENT</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 THE DISSOLUTION PETITION SATISFIES ALL STATUTORY PREREQUISITES UNDER AS 25.24.200.</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petition for dissolution in this case satisfies each of the conditions required by AS 25.24.200(a). First, incompatibility of temperament, manifested through Colin Larsen's extended North Slope absences, financial strain, and irreconcilable differences, has caused the irremediable breakdown of the marriage. No prospect of reconciliation exists, and both parties acknowledge the finality of the marital breakdown.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Second, because there are two unmarried minor children of the marriage, both under the age of nineteen, the statute requires that the parties have agreed on custody, visitation, and child support. AS 25.24.200(a)(2). The parties have reached such an agreement: joint legal custody with primary physical residence at the Eagle River home during the school year, alternating weekend parenting time for Colin Larsen, and six weeks of summer parenting time each year. Colin Larsen will pay $1,450 per month in child support. This agreement is consistent with the statutory framework and with the best interests of the children, as further discussed in Section IV.B below.</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Third, the parties have agreed on the distribution of all real and personal property, including the family home, the joint savings account, and the two vehicles. The agreement takes into consideration the factors listed in AS 25.24.160(a)(2) and (4), as required by AS 25.24.200(a)(3). The economic effect of dissolution is fairly allocated through the deferred equity buyout, the equal division of the savings account, and the respective vehicle assignments, as further discussed in Section IV.C.</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Fourth, the parties have agreed as to the payment of all unpaid marital obligations, including the credit card balances and personal loan totaling approximately $33,500, which are to be divided equally with each party assuming specific accounts to be itemized in the decree. AS 25.24.200(a)(4). This satisfies the final prerequisite for a jointly filed petition.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B. THE PROPOSED CUSTODY AND PARENTING TIME ARRANGEMENT SERVES THE BEST INTERESTS OF THE CHILDREN AND SATISFIES THE REQUIREMENTS OF AS 25.24.220 AND AS 25.24.230.</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When a dissolution petition involves minor children, the court is required to examine whether the written agreements concerning child custody, child support, and visitation are just as between the spouses and in the best interests of the children. AS 25.24.220(d)(2); AS 25.24.230(b)(2). Where, as here, there is a minor child of the marriage, the court must also apply a heightened level of scrutiny to its review of the parties' agreements. AS 25.24.220(h)(3).</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proposed custody arrangement satisfies this standard. Joint legal custody ensures that both parents will participate in major decisions affecting their children's education, health care, and general welfare. Primary physical residence with Priya Larsen during the school year maintains continuity and stability for the children, who have been residing in the Eagle River home throughout the period of marital discord. The Alaska Supreme Court has recognized the importance of stability in children's living arrangements, particularly during the school year, as a key component of any custody analysis. Sandberg v. Sandberg, 322 P.3d 879 (Alaska 2014).</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alternating weekend parenting schedule and the six-week summer visitation block are consistent with Colin Larsen's current employment situation and geographic location in Wasilla. This schedule ensures that the children maintain a meaningful and consistent bond with their father without disrupting their school schedules or primary caregiving arrangement. The agreement adequately accounts for both parents' circumstances and represents a balanced and child-focused resolution.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AS 25.24.160(a)(4)(F) specifically recognizes the desirability of awarding the family home or the right to reside in it to the parent with primary physical custody of the children. The proposed arrangement honors this statutory preference by allowing Priya Larsen and the children to remain in the Eagle River home during the school year, thereby avoiding the disruption and harm that a forced relocation or home sale would cause to the minor children.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AS 25.24.230(b)(2) requires that the agreements on custody, support, and visitation constitute the entire agreement of the parties on those subjects. Petitioner represents that the terms set forth in the dissolution petition and this brief constitute the complete agreement of the parties on all custody, visitation, and support matters. The court is asked to incorporate these terms fully and specifically in the final decree as required by AS 25.24.230(f).</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C. THE PROPOSED CHILD SUPPORT AMOUNT IS CONSISTENT WITH CIVIL RULE 90.3 AND IS SUPPORTED BY THE RECORD.</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Child support in this case is governed by Civil Rule 90.3. Because the children will reside primarily with Priya Larsen during the school year, with Colin Larsen exercising alternating weekend and summer parenting time, this matter is appropriately analyzed under the primary physical custody formula set forth in Civil Rule 90.3(a).</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Under Civil Rule 90.3(a)(1), adjusted annual income is "the parent's total income from all sources minus" certain enumerated deductions, including mandatory taxes, retirement contributions within specified limits, work-related child care expenses, and health insurance premiums. Colin Larsen's gross monthly income is approximately $7,800, yielding a gross annual income of approximately $93,600. After applicable deductions under Civil Rule 90.3(a)(1), the adjusted annual income figure serves as the basis for the support calculation.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Under Civil Rule 90.3(a)(2)(B), the applicable support percentage for two children is 27 percent of the non-custodial parent's adjusted annual income. The Alaska Supreme Court confirmed in Sharon Thompson v. Everett Thompson, 454 P.3d 981 (Alaska 2019), that adjusted annual income under Civil Rule 90.3(a)(1) must be calculated based on the parent's total income from all sources, reduced by the listed deductions, and that this calculation drives the resulting support obligation. The proposed monthly support amount of $1,450 is consistent with the application of Civil Rule 90.3(a)(2)(B) to Colin Larsen's income, accounting for reasonable deductions, and Petitioner submits that this figure accurately reflects the applicable formula.</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Departures from the Civil Rule 90.3 formula are permitted only upon a finding of unusual circumstances and require express written findings. Laughlin v. Laughlin, 229 P.3d 1002 (Alaska 2010). The proposed support amount of $1,450 per month does not represent a departure from the formula; rather, it reflects a straightforward application of the guidelines to Colin Larsen's income. No unusual circumstances exist that would justify deviation from the formula amount.</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court should also be aware that Civil Rule 90.3(a)(3) permits an extended visitation credit of up to 75 percent for periods of extended visitation exceeding 27 consecutive days. Colin Larsen's six-week summer parenting block may qualify for such a credit, and Petitioner requests that if any credit is applied, it be reflected expressly in the dissolution decree. Civil Rule 90.3(b) would govern the child support calculation if the court were to determine that the parenting time arrangement constitutes shared physical custody; however, Petitioner submits that the primary custody formula under Civil Rule 90.3(a) is the applicable framework given that the children's principal residence during the school year is with Priya Larsen.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child support provisions in the dissolution petition have been reviewed in light of the policy goals articulated by the Alaska Supreme Court in Ruppe v. Ruppe, 358 P.3d 1284 (Alaska 2015), which recognized that the Civil Rule 90.3 formula is designed to ensure adequate support for children consistent with each parent's ability to pay and to produce predictable and consistent outcomes. The proposed support amount serves both of these purposes.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D. THE PROPOSED DIVISION OF MARITAL PROPERTY AND ALLOCATION OF DEBTS IS FAIR, JUST, AND CONSISTENT WITH AS 25.24.160 AND AS 25.24.230.</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division of marital property must be "in a just manner" and must "fairly allocate the economic effect of divorce" by being based on consideration of the factors set forth in AS 25.24.160(a)(4). The proposed property division satisfies this standard.</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marital estate consists of the following assets: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1. The Eagle River family home, valued at approximately $295,000, subject to a mortgage balance of approximately $210,000, yielding net equity of approximately $85,000;</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2. A joint savings account containing approximately $18,000; and</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3. Two vehicles.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Priya Larsen will retain the family home and one vehicle. She will assume the existing mortgage obligation. Colin Larsen will retain the second vehicle. To equalize the parties' respective shares of the home equity, Colin Larsen will receive a deferred buyout payment representing his equitable share of the approximately $85,000 in home equity. The timing and structure of the buyout are to be set forth in the dissolution decree, consistent with the court's equitable discretion to structure payments over time where immediate payment would cause hardship. Hockema v. Hockema, 403 P.3d 1080 (Alaska 2017).</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joint savings account of approximately $18,000 is to be divided equally between the parties, with each receiving approximately $9,000. This equal division is straightforward and appropriate given that the savings account represents liquid marital assets accumulated during the marriage without any significant separate property contribution by either party.</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With respect to marital debts, the approximately $24,000 in credit card balances and the $9,500 personal loan, totaling approximately $33,500, are to be divided equally, with each party assuming approximately $16,750 in obligations through responsibility for specific accounts to be itemized in the final decree. This equal division of debt is consistent with the statutory requirement that the parties agree to the payment of all unpaid obligations incurred during the marriage. AS 25.24.200(a)(4). It is also consistent with the principle, affirmed in Osterkamp v. Stiles, 235 P.3d 178 (Alaska 2010), that equitable considerations govern the allocation of marital debts and that the court should credit each party appropriately for debts assumed in the division.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factors enumerated in AS 25.24.160(a)(4) support the proposed division. The parties were married for approximately nine years, a marriage of moderate length during which both parties contributed to the marital estate. The parties are of similar age and general health. While Colin Larsen's North Slope employment provides a higher current income, Priya Larsen has assumed the primary caregiving role for the minor children, which has affected her earning capacity and employment flexibility. The Eagle River home is the children's primary residence, and AS 25.24.160(a)(4)(F) expressly recognizes the desirability of awarding the family home to the parent with primary physical custody. The deferred buyout structure is appropriate given the current mortgage balance and the practical impossibility of a forced sale, which would be contrary to the children's best interests.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AS 25.24.230(a)(3) requires that the division of property "fairly allocate the economic effect of dissolution" and take into consideration the factors listed in AS 25.24.160(a)(2) and (4). The proposed division accomplishes this objective. Priya Larsen receives the family home, stability for herself and the children, and one vehicle. Colin Larsen receives the second vehicle, an equal share of the joint savings account, and a deferred equalization payment representing his share of the home equity. The equal allocation of marital debts ensures that neither party is disproportionately burdened by obligations incurred during the marriage. The overall arrangement represents a fair and equitable distribution of the marital estate and fairly allocates the economic effect of dissolution between the parties.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Because no spousal maintenance is sought by either party, the court need not conduct a separate analysis of the factors under AS 25.24.160(a)(2). Petitioner notes, however, that the property division has been structured with awareness of those factors, including the parties' earning capacities, the length of the marriage, and the custodial responsibilities Priya Larsen will carry going forward. The Alaska Supreme Court in Ruppe v. Ruppe, 358 P.3d 1284 (Alaska 2015), observed the preference in Alaska courts for resolving financial concerns through property division where possible, and the proposed arrangement is consistent with that preference.</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E. THE COURT SHOULD APPLY HEIGHTENED SCRUTINY AND FIND THAT THE AGREEMENTS ARE JUST AND VOLUNTARILY ENTERED.</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Because minor children are involved in this dissolution proceeding, AS 25.24.220(h)(3) requires the court to apply a heightened level of scrutiny in examining the parties' written agreements. Under AS 25.24.220(i), upon applying heightened scrutiny the court must determine that the agreements are just, that they constitute the entire agreement between the parties, and that the agreements concerning custody, support, and visitation are in the best interests of the children.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Petitioner respectfully submits that the agreements in this case satisfy that standard. The custody and parenting time arrangement prioritizes the children's stability, educational continuity, and relationship with both parents. The child support amount has been calculated in conformity with Civil Rule 90.3. The property division fairly allocates the marital estate in a manner that accounts for the children's need to remain in the family home, Colin Larsen's equitable interest in the accumulated home equity, and the equal sharing of marital debts. All agreements were reached voluntarily through good-faith negotiation, without coercion or duress, and each party understands the nature and consequences of the dissolution.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AS 25.24.230(b)(4) requires a finding that the spousal maintenance and division of property fairly allocate the economic effect of dissolution. AS 25.24.230(b)(5) requires a finding that each spouse entered the agreement voluntarily and free from the coercion of another person. Petitioner affirms both conditions. The written agreements constitute the entire agreement between the parties on all subjects addressed therein, as required by AS 25.24.230(b)(2) and (b)(3).</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court is asked to incorporate all terms of the parties' agreement fully and specifically in the final decree of dissolution, consistent with AS 25.24.230(f), which requires the court to "fully and specifically set out in the decree the written agreements of the spouses and shall order the performance of those written agreements." The decree should also specify whether child support payments are to be made through the child support services agency.</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F. THE PROPOSED DISSOLUTION IS PROCEDURALLY PROPER UNDER AS 25.24.220 AND AS 25.24.250.</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Department of Law, in cooperation with the Alaska Court System, is required by AS 25.24.250 to prepare forms and instructions for use by persons seeking dissolution of their marriage. Petitioner has utilized the appropriate forms and has endeavored to ensure that the petition and supporting materials conform to all applicable requirements of the Alaska Rules of Civil Procedure. The dissolution petition constitutes the entire agreement between the parties, as required by AS 25.24.250(c).</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hearing required by AS 25.24.220(a) should be scheduled in accordance with the Alaska Rules of Civil Procedure. Both parties are prepared to attend the hearing personally, as required by AS 25.24.220(b) for a jointly filed petition. Petitioner requests that the court conduct its examination of the parties in compliance with AS 25.24.220(d) and, given the presence of minor children, with the heightened scrutiny required by AS 25.24.220(h) and (i).</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V. CONCLUSION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For the foregoing reasons, Petitioner Priya Larsen respectfully requests that the Alaska Superior Court:</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1. Find that the conditions for dissolution under AS 25.24.200(a) have been met, including the irremediable breakdown of the marriage due to incompatibility of temperament;</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2. Find that the written agreements concerning joint legal custody, primary physical residence with Priya Larsen, alternating weekend and summer parenting time for Colin Larsen, and child support of $1,450 per month are just between the parties and in the best interests of the two minor children;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3. Find that the proposed division of the marital estate, including the deferred equity buyout of the Eagle River home, equal division of the joint savings account, respective vehicle assignments, and equal allocation of marital debts, fairly allocates the economic effect of dissolution in accordance with AS 25.24.160(a)(4) and AS 25.24.230;</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4. Find that all agreements were entered into voluntarily, without coercion or duress, and constitute the entire agreement between the parties;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5. Apply the heightened level of scrutiny required by AS 25.24.220(h) and (i) and find that all agreements satisfy that standard; and</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6. Enter a final decree of dissolution that fully and specifically sets out all written agreements of the parties, designates responsibility for specific marital debt accounts, and specifies the child support payment mechanism, consistent with AS 25.24.230(f).</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Petitioner submits that the proposed dissolution agreement is fair, just, and fully consistent with Alaska law, and respectfully requests that the Court grant the petition and enter the final decree of dissolution.</w:t>
      </w:r>
    </w:p>
    <w:sectPr>
      <w:pgSz w:w="11906" w:h="16838" w:orient="portrait"/>
      <w:pgMar w:top="1440" w:right="108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2026-08-15T00:00:43.301Z</dcterms:created>
  <dcterms:modified xsi:type="dcterms:W3CDTF">2026-08-15T00:00:43.301Z</dcterms:modified>
</cp:coreProperties>
</file>

<file path=docProps/custom.xml><?xml version="1.0" encoding="utf-8"?>
<Properties xmlns="http://schemas.openxmlformats.org/officeDocument/2006/custom-properties" xmlns:vt="http://schemas.openxmlformats.org/officeDocument/2006/docPropsVTypes"/>
</file>