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(doc-0007)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respectfully petitions this Court for a long-term domestic violence protective order against his husband, Colin Petrova, pursuant to AS 18.66.100. Colin has committed multiple crimes involving domestic violence against Marcus, including physical assault, strangulation, and repeated death threats. The incidents occurred on October 3, 2024, and October 9, 2024, and reflect an escalating pattern of violence and intimidation. Marcus seeks an order requiring Colin to vacate the shared residence at 412 Birch Street in Anchorage, prohibiting all forms of contact, and directing Colin to surrender any firearms in his possession. The undisputed facts, viewed under the applicable legal standards, compel the issuance of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and Colin Petrova are married and have resided together at 412 Birch Street, Anchorage, Alaska, for approximately six years. They are household members within the meaning of Alaska law, as they are current spouses who have lived together.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Colin and Marcus engaged in an argument concerning finances at their shared residence. During that argument, Colin grabbed Marcus by the throat, shoved him forcefully into a kitchen cabinet, and threatened to kill Marcus if he attempted to leave the marriage. This conduct constituted physical assault and a credible death threat made by a household member against another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9, 2024, Colin appeared without invitation at Marcus's place of employment in Anchorage. Colin screamed threats at Marcus in the presence of Marcus's coworkers and warned Marcus that he would "not live to regret" filing for divorce. This conduct at Marcus's workplace compounded the fear and danger Marcus already faced following the October 3 incident.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now fears for his physical safety in the shared residence and at his workplace. Colin's conduct has been escalating in severity and intrusiveness: the first incident involved direct physical violence in the home, and the second involved a public confrontation at Marcus's place of employment designed to intimidate and threaten. Marcus has no adequate remedy to protect himself short of a court-ordered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files this petition in the Anchorage judicial district, which is the judicial district where both parties currently reside and where both acts of domestic violence occurred, consistent with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of the hearing and of the respondent's right to appear and be heard. If the court finds by a preponderance of the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domestic violence protective order statutes are remedial in nature and should be construed broadly to protect victims. Whalen v. Whalen, 425 P.3d 150 (Alaska 2018). The preponderance of the evidence standard requires that the petitioner demonstrate it is more likely than not that the respondent committed a crime involving domestic violence. State v. Strane, 61 P.3d 1284 (Alaska 2003).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term "domestic violence" is defined broadly under AS 18.66.990(3) to include offenses under AS 11.41, which governs crimes against the person, including assault, strangulation, and criminal threatening, committed by a household member against another household member. A "household member" includes adults who are current spouses. AS 18.66.990(5)(A).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has been a lapse of time between an act of domestic violence and the filing of the petition. AS 18.66.100(e)(1). Likewise, a petitioner who is appearing pro se in a protective order proceeding may submit a mailing address and telephone number on a separate form and omit that information from other pleadings and papers filed with the court, ensuring the petitioner's location is not disclosed to the respondent. Civil Rule 65.1.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Colin Petrova Is a Household Member Who Has Committed Multiple Crimes Involving Domestic Violence Against Marcus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Colin are married and have lived together at 412 Birch Street, Anchorage, for six years. Colin therefore qualifies as a "household member" under AS 18.66.990(5)(A), which includes adults who are current spouses. Marcus, as a victim of crimes involving domestic violence committed by a household member, is precisely the person AS 18.66.100 was enacted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conduct on October 3, 2024, constituted at minimum an assault and a criminal threatening under AS 11.41, both of which are crimes against the person qualifying as domestic violence under AS 18.66.990(3)(A). Colin grabbed Marcus by the throat, a form of physical violence that courts and law enforcement widely recognize as among the most dangerous forms of assault in domestic violence situations, as it can cause serious injury or death and frequently signals an escalating threat to life. He then shoved Marcus into a kitchen cabinet and threatened to kill him if Marcus attempted to leave the marriage. Each of these acts, standing alone, constitutes a crime against the person committed by a household member. Together, they establish a clear and serious instance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conduct on October 9, 2024, compounds this record. His uninvited appearance at Marcus's workplace, accompanied by screaming threats and a statement that Marcus would "not live to regret" filing for divorce, constitutes additional criminal threatening and harassment directed at a household member. This conduct falls within the definition of domestic violence under AS 18.66.990(3)(A), as it constitutes a crime against the person under AS 11.41. The Alaska Supreme Court has recognized that courts must consider the full pattern of a respondent's behavior when evaluating the need for protective relief. Williams v. Barbee, 243 P.3d 995 (Alaska 2010). The two incidents here, occurring only six days apart and escalating from the home to Marcus's workplace, demonstrate exactly such a pattern.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Marcus Petrova Is Entitled to an Order Requiring Colin to Vacate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a respondent from the residence of the petitioner, regardless of ownership of the residence. Marcus and Colin share the residence at 412 Birch Street. The October 3, 2024 incident of strangulation and death threats occurred in that home. Marcus cannot safely remain in or return to a residence shared with someone who has physically assaulted him and threatened to kill him in that same space. The court should order Colin to vacate 412 Birch Street and remain excluded from the property for the duration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removal of an abuser from a shared residence is an appropriate remedy where the petitioner's continued safety in the home cannot be secured while the respondent remains. Thomas v. Thomas, 171 P.3d 98 (Alaska 2007). The facts here satisfy any such standard. Requiring Colin to vacate the shared residence is the minimum measure necessary to allow Marcus to live without reasonable fear of further physical violence in his own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Marcus Petrova Is Entitled to an Order Prohibiting All Forms of Contact by Colin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AS 18.66.100(c)(4) further authorizes the court to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has already demonstrated that he is willing to pursue Marcus beyond the shared residence. The October 9, 2024 workplace confrontation, in which Colin appeared uninvited, screamed threats, and warned Marcus about the consequences of filing for divorce, shows that Colin will use any point of access to continue threatening Marcus. A no-contact order covering in-person contact, telephone contact, and contact through any third party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issue a stay-away order directed at Marcus's workplace, as Colin has already targeted that location to intimidate Marcus. AS 18.66.100(c)(4) expressly authorizes such a directive. Critically, AS 18.66.130(a) makes clear that any invitation by a petitioner to communicate or have contact with a respondent does not waive or nullify any provision of a protective order. This provision ensures that even if Colin attempts to argue that Marcus consented to future contact, such a claim cannot be used to undermine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orders prohibiting contact, including at a petitioner's workplace, are well within a court's authority and serve the protective purposes of the domestic violence statutes. Jmr v. Str, 15 P.3d 253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Marcus Petrova Is Entitled to an Order Directing Colin to Surrender Any Firearms.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18.66.100(c)(6) authorizes the court to prohibit a respondent from using or possessing a deadly weapon if the court finds the respondent was in the actual possession of or used a weapon during the commission of domestic violence. AS 18.66.100(c)(7) further authorizes the court to direct the respondent to surrender any firearm owned or possessed by the respondent if the court finds the respondent was in the actual possession of or used a firearm during the commission of the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the facts presently before this Court do not establish that Colin used a firearm during the October 3 or October 9 incidents, Colin's physical violence and repeated death threats demonstrate that he presents a serious and credible danger to Marcus's life. The court possesses broad authority under AS 18.66.100(c)(16) to order other relief the court determines necessary to protect the petitioner or any household member. Given the nature of Colin's threats, including an explicit threat to kill Marcus, an order directing Colin to surrender any firearms in his possession is necessary to protect Marcus's safety. Courts have recognized that death threats in the context of domestic violence create a heightened risk that firearms will be used to carry out those threats. Cooper v. Cooper, 144 P.3d 451 (Alaska 2006).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Alaska Supreme Court has recognized that courts retain broad discretion under the domestic violence protective order statutes to craft remedies tailored to the specific danger a petitioner faces. Reed v. Parrish, 286 P.3d 1054 (Alaska 2012). Given Colin's explicit threat to kill Marcus and the escalating nature of his conduct, a firearms surrender order is not only appropriate but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Protective Order Should Be Issued for the Full Period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18.66.100(b)(2), provisions of a protective order issued under AS 18.66.100(c)(2) through (16) are effective for one year unless earlier dissolved by court order. Although Marcus has requested a 90-day protective order, the court may, and indeed should, consider whether a one-year order is warranted given the severity and escalating nature of Colin's conduct. The October 3, 2024 strangulation and death threat, followed by the October 9, 2024 workplace confrontation and additional threats, reflect a serious and ongoing danger. A shorter duration may leave Marcus without protection during a period when, experience and Alaska law both recognize, petitioners are at heightened risk.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courts must assess the totality of a respondent's conduct when determining the scope and duration of a protective order. Veronica Louise Hudson v. Daniel Lee Hudson, 532 P.3d 272 (Alaska 2023). Under that framework, the record here supports a protective order of at least the duration requested by Marcus, and potentially the full one-year period authorized by AS 18.66.100(b)(2).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No-Contact Provisions of the Protective Order Cannot Be Nullified by Any Subsequent Invitation.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provides that if a respondent is prohibited from communicating with the petitioner, excluded from the petitioner's residence, or ordered to stay away from the petitioner, an invitation by the petitioner to have the prohibited contact does not waive or nullify any provision of the protective order. This statutory protection is critical in Marcus's case. Courts and advocates for domestic violence victims recognize that abusers often manipulate victims into extending invitations for contact, then use those invitations to argue that the protective order has been waived. AS 18.66.130(a) forecloses that strategy entirely. Colin cannot use any future contact initiated by Marcus, if any were to occur, as a basis to argue that the order no longer applies.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before this Court establishes by a preponderance of the evidence that Colin Petrova has committed multiple crimes involving domestic violence against Marcus Petrova, a household member and current spouse. Colin physically assaulted Marcus on October 3, 2024, grabbing him by the throat, shoving him into a kitchen cabinet, and threatening to kill him. Six days later, Colin appeared uninvited at Marcus's workplace and repeated his threats in front of witnesses. This pattern of escalating violence and intimidation entitles Marcus to the full protection available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Marcus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long-term domestic violence protective order pursuant to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Colin Petrova to vacate and remain excluded from the shared residence at 412 Birch Street, Anchorage, Alaska, regardless of his ownership interest,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Colin Petrova from telephoning, contacting, or otherwise communicating with Marcus Petrova directly or indirectly, and direct Colin to stay away from Marcus's residence and place of employment, pursuant to AS 18.66.100(c)(2) and (c)(4);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Colin Petrova to surrender any firearms in his possession pursuant to AS 18.66.100(c)(7), and prohibit him from possessing any deadly weapon pursuant to AS 18.66.100(c)(6), given the credible death threats he has made;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any other relief the Court determines necessary to protect Marcus Petrova from further domestic violence,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2026-08-15T00:09:12.666Z</dcterms:created>
  <dcterms:modified xsi:type="dcterms:W3CDTF">2026-08-15T00:09:12.666Z</dcterms:modified>
</cp:coreProperties>
</file>

<file path=docProps/custom.xml><?xml version="1.0" encoding="utf-8"?>
<Properties xmlns="http://schemas.openxmlformats.org/officeDocument/2006/custom-properties" xmlns:vt="http://schemas.openxmlformats.org/officeDocument/2006/docPropsVTypes"/>
</file>