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(doc-0008)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Sutter brings this action seeking a domestic violence protective order against Respondent Brandon Sutter pursuant to AS 18.66.100. The conduct at issue includes physical assault, explicit threats, and intimidating surveillance. Specifically, on March 4, 2025, Respondent physically assaulted Petitioner by grabbing her arm and shoving her into a kitchen counter, causing visible bruising to her upper arm and shoulder. On March 11, 2025, Respondent sent Petitioner a threatening text message warning her of serious consequences if she sought legal counsel or attempted to leave the relationship, and Respondent later appeared uninvited at Petitioner's workplace and remained stationed outside the entrance for approximately thirty minutes, staring at Petitioner through the window. Petitioner respectfully requests that this Court enter a protective order requiring Respondent to vacate the shared residence, prohibiting all contact with Petitioner, and directing Respondent to maintain a distance of at least 500 feet from Petitioner's home, workplace, and vehicle. This relief is necessary, appropriate, and fully supported by Alaska law.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Sutter and Brandon Sutter are married and share a residence in Anchorage, Alaska. On March 4, 2025, during a domestic argument, Respondent grabbed Petitioner by the arm and shoved her forcefully into the kitchen counter. As a direct result of this physical assault, Petitioner sustained visible bruising on her upper arm and shoulder. This act constitutes a crime involving domestic violence, as the parties are household members and the conduct involved the intentional infliction of physical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11, 2025, Respondent sent Petitioner a text message threatening that if she attempted to leave him or contact an attorney, he would "make sure she regretted it." This explicit threat served to deter Petitioner from exercising her legal rights and created a well-founded fear of further harm. Later that same day, Respondent appeared uninvited at Petitioner's workplace. Respondent positioned himself outside the building's entrance and stood staring at Petitioner through the window for approximately thirty minutes. This conduct constitutes stalking and harassment, and was plainly designed to intimidate and surveil Petitioner in a place she was entitled to occupy free from fear.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continues to reside in the shared residence and is exposed to an ongoing risk of harm from Respondent. Petitioner now seeks court intervention to protect her physical safety, secure possession of the shared residence, and prevent any further contact or intimidation by Respondent.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domestic violence protective order is filed, the court shall schedule a hearing and provide at least ten days' notice to the respondent. If the court finds by a preponderance of the evidence that the respondent has committed a crime involving domestic violence against the petitioner, the court may order any relief available under AS 18.66.100(c),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 ex parte protective order may be issued under AS 18.66.110(a) where the petition establishes probable cause that a crime involving domestic violence has occurred, protection is necessary, and the petitioner has certified in writing the efforts made to provide notice to the respondent. Such an ex parte order expires twenty days after issuance unless dissolved earlier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the breadth of a court's authority to fashion appropriate relief in domestic violence proceedings. In Thomas v. Thomas, 171 P.3d 98 (Alaska 2007), the court confirmed that temporary custody, residential exclusion, and protective measures may all be granted under the domestic violence protective order statutes where the evidence supports such relief. In Whalen v. Whalen, 425 P.3d 150 (Alaska 2018), the court clarified that the prohibition against committing or threatening to commit domestic violence, stalking, or harassment under AS 18.66.100(c)(1) remains effective indefinitely until dissolved by court order, while other provisions of a long-term protective order are effective for one year unless earlier dissolved.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Civil Rule 945(h) permits a petition for a protective order under AS 18.66 to be filed in the judicial district or court location closest to where the petitioner currently or temporarily resides, where the respondent resides, or where the domestic violence occurred. Because both parties reside in Anchorage and the conduct occurred there, venue in this Court is proper.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RESPONDENT'S PHYSICAL ASSAULT ON MARCH 4, 2025 CONSTITUTES A CRIME INVOLVING DOMESTIC VIOLENCE SUPPORTING THE ISSUANCE OF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physical altercation on March 4, 2025, in which Respondent grabbed Petitioner's arm and shoved her into the kitchen counter with sufficient force to cause visible bruising, constitutes an assault and a crime involving domestic violence. Petitioner and Respondent are married household members. The intentional infliction of physical injury upon a household member falls squarely within the conduct addressed by AS 18.66.100. Under AS 18.66.100(b), the court may issue a protective order upon finding by a preponderance of the evidence that a crime involving domestic violence has occurred. The visible bruising sustained by Petitioner on her upper arm and shoulder constitutes direct and observable evidence of the physical harm inflicted upon her by Respondent.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State v. Strane, 61 P.3d 1284 (Alaska 2003), underscores the seriousness with which Alaska courts treat domestic violence conduct and the breadth of protective measures available under AS 18.66.100(c). The evidence of the March 4, 2025 assault easily satisfies the preponderance standard required for the issuance of a long-term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RESPONDENT'S THREATENING TEXT MESSAGE AND UNINVITED APPEARANCE AT PETITIONER'S WORKPLACE ON MARCH 11, 2025 CONSTITUTE STALKING, HARASSMENT, AND CRIMINAL THREATENING THAT INDEPENDENTLY SUPPORT PROTECTIVE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Beyond the physical assault, Respondent's conduct on March 11, 2025 provides independent and additional grounds for the relief sought. Respondent sent Petitioner a text message explicitly threatening that she would "regret" leaving him or contacting an attorney. This threat was designed to prevent Petitioner from exercising her right to seek legal protection, and it created a reasonable and well-founded fear of serious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Respondent's subsequent uninvited appearance at Petitioner's workplace, where he stood outside the entrance for approximately thirty minutes staring at Petitioner through the window, constitutes a pattern of intimidating and harassing conduct. This behavior is precisely the type of surveillance and intimidation that the protective order statutes are designed to address. AS 18.66.100(c)(1) expressly permits the court to prohibit a respondent from threatening to commit or committing domestic violence, stalking, or harassment. AS 18.66.100(c)(4) authorizes the court to direct the respondent to stay away from the petitioner's workplace and any other specified place frequented by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Jason Thomas Armstrong v. Lacie Rebecca Ann Chance, 541 P.3d 1128 (Alaska 2024), the Alaska Supreme Court confirmed that long-term protective orders may impose both prohibitions and affirmative requirements on a respondent, and that certain protective provisions, particularly those prohibiting the commission or threat of domestic violence, stalking, or harassment, may remain in force indefinitely. The pattern of conduct here, including both the physical assault and the subsequent threatening and surveillance behaviors, amply supports the full scope of relief Petitioner requests.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ORDER RESPONDENT TO VACATE THE SHARED RESIDENCE AND MAINTAIN A 500-FOOT DISTANCE FROM PETITIONER'S HOME, WORKPLACE, AND VEHICLE.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requests that the Court exercise its authority under AS 18.66.100(c)(3) and AS 18.66.100(c)(4) to remove and exclude Respondent from the shared residence and to direct Respondent to remain at least 500 feet from Petitioner's home, workplace, and vehicle. AS 18.66.100(c)(3) expressly authorizes the court to remove and exclude the respondent from the residence of the petitioner regardless of ownership of the residence. AS 18.66.100(c)(4) authorizes the court to direct the respondent to stay away from the residence, school, or place of employment of the petitioner or any other specified place frequented by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These provisions are directly applicable here. Respondent has already demonstrated his willingness to appear uninvited at Petitioner's workplace and to use proximity and surveillance as tools of intimidation. Allowing Respondent to remain in the shared residence would place Petitioner in daily danger and would render meaningful protection impossible. The shared nature of the residence does not bar relief, as the statute explicitly provides that removal may be ordered regardless of ownership.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18.66.100(c)(5) further authorizes the court to prohibit the respondent from entering a propelled vehicle in the possession of or occupied by the petitioner, providing a basis for the vehicle-related protection Petitioner seeks.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PROHIBIT ALL DIRECT AND INDIRECT CONTACT BETWEEN RESPONDENT AND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requests that the Court prohibit Respondent from telephoning, contacting, or otherwise communicating with Petitioner, whether directly or indirectly. AS 18.66.100(c)(2) expressly authorizes such a prohibition. Given Respondent's use of text messaging to deliver explicit threats, and his pattern of appearing at locations where Petitioner is present, a comprehensive no-contact order is not only appropriate but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18.66.130(a) further provides that even if a petitioner were to invite prohibited contact, that invitation would not waive or nullify any provision of a protective order. This provision ensures that Respondent cannot use any subsequent communication from Petitioner as a pretext for violating the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holding in Wee v. Eggener, 225 P.3d 1120 (Alaska 2010), confirms that courts possess broad authority to issue no-contact provisions in domestic violence proceedings and that such relief serves the fundamental policy of protecting victims from ongoing harm.</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A NO-CONTACT ORDER WILL NOT BE NULLIFIED BY ANY SUBSEQUENT INVITATION FROM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is aware that Respondent may attempt to characterize any future communication from her as an invitation that negates or modifies the terms of a protective order. Alaska law forecloses this argument. Under AS 18.66.130(a), an invitation by the petitioner to communicate or have other prohibited contact with the respondent does not waive or nullify any provision in a protective order. This protection is essential in the context of domestic violence, where abusers frequently use the victim's own actions, however coerced or misrepresented, to undermine legal protections. The Court should enter the order with confidence that its terms will remain binding and enforceable regardless of subsequent communications.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PETITIONER, AS A PRO SE LITIGANT, IS ENTITLED TO CONFIDENTIAL FILING OF HER ADDRESS AND CONTACT INFORMATION.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65.1 provides that a petitioner who is appearing pro se in a proceeding to obtain a domestic violence protective order under AS 18.66.100 or AS 18.66.110 may submit her mailing address and telephone number on a separate form and omit this information from other pleadings and papers filed with the court. Petitioner requests that the Court allow her to proceed under the protections of Civil Rule 65.1, and that her address and contact information be maintained on a separate confidential form accessible only to the court, authorized court system personnel, and Petitioner. Given the explicit threats Respondent has made against Petitioner for seeking legal help, this protection is especially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DURING THE PENDENCY OF ANY CONCURRENT DIVORCE PROCEEDING, PETITIONER IS ENTITLED TO ADDITIONAL PROTECTIVE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Petitioner initiates a dissolution or divorce action concurrent with this proceeding, AS 25.24.140(b) provides that during the pendency of such an action, a spouse is entitled to necessary protective orders including orders providing for the freedom of each spouse from the control of the other, for protection under AS 18.66.100 through AS 18.66.180, directing one spouse to vacate the marital residence, and restraining a spouse from communicating directly or indirectly with the other spouse. Civil Rule 903(e) provides that a standing preliminary injunction in domestic relations actions prohibits the parties from, among other things, threatening, harassing, or harming the other party. These provisions reinforce and supplement the relief available under the domestic violence protective order statutes and confirm that Petitioner's requested relief is supported by multiple independent sources of authority.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25.24.140(d) makes clear that the court may not order or refer the parties to mediation or family counseling when a protective order issued under AS 18.66.100 through AS 18.66.180 is in effect. Petitioner respectfully requests that the Court enter a protective order and ensure that no mediation or family counseling is ordered in any related domestic relations proceeding.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Priya Sutter respectfully requests that this Court enter a domestic violence protective order against Respondent Brandon Sutter pursuant to AS 18.66.100, granting the following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Prohibiting Respondent from threatening to commit or committing domestic violence, stalking, or harassment against Petitioner, pursuant to AS 18.66.100(c)(1);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Prohibiting Respondent from telephoning, contacting, or otherwise communicating directly or indirectly with Petitioner, pursuant to AS 18.66.100(c)(2);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Removing and excluding Respondent from the shared residence regardless of ownership, pursuant to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Directing Respondent to stay at least 500 feet away from Petitioner's home, workplace, and vehicle, pursuant to AS 18.66.100(c)(4) and AS 18.66.100(c)(5);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Permitting Petitioner to file her address and telephone number on a separate confidential form, pursuant to Civil Rule 65.1;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Any other relief the Court determines necessary to protect Petitioner, pursuant to AS 18.66.100(c)(16).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evidence of Respondent's physical assault, explicit threats, and intimidating surveillance establishes by a preponderance of the evidence that a crime involving domestic violence has occurred and that ongoing protective relief is necessary for Petitioner's safety. Petitioner respectfully urges the Court to grant all requested relief.</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2026-08-15T00:11:30.044Z</dcterms:created>
  <dcterms:modified xsi:type="dcterms:W3CDTF">2026-08-15T00:11:30.044Z</dcterms:modified>
</cp:coreProperties>
</file>

<file path=docProps/custom.xml><?xml version="1.0" encoding="utf-8"?>
<Properties xmlns="http://schemas.openxmlformats.org/officeDocument/2006/custom-properties" xmlns:vt="http://schemas.openxmlformats.org/officeDocument/2006/docPropsVTypes"/>
</file>