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(doc-0009)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Nakamura respectfully requests that this Court modify the existing child support order entered in 2021. Since that order was entered, the financial circumstances of both parties and the needs of the children have changed substantially. Respondent Brandon Nakamura has accepted a new position that has increased his annual gross income from approximately $52,000 to $89,000, a change of more than seventy percent. Simultaneously, the parties' younger child has received a diagnosis of a developmental disability, generating ongoing therapeutic expenses that were not contemplated at the time of the prior order. Tomas, who remains in part-time employment due to the caregiving demands imposed by the child's condition, now petitions this Court for a modified support order of approximately $1,400 per month. The requested modification is compelled by Brandon's significantly greater earning capacity, the children's heightened financial needs, and the governing legal standards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Superior Court entered a final child support order in 2021 following the dissolution of the parties' marriage. That order required Brandon Nakamura to pay Tomas Nakamura $850 per month in child support. At the time of entry, Brandon was employed as a warehouse supervisor earning approximately $52,000 per year. Tomas was working part-time and earning approximately $24,000 per year. The parties share two minor children. Under the operative custody arrangement, Tomas exercises primary physical custody for approximately 245 overnights per year, with Brandon exercising the remaining overnights.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Brandon accepted a position as a regional logistics manager. His current annual salary is $89,000, representing a gross income increase of $37,000, or approximately seventy-one percent above his income at the time of the prior order. Applying the child support guidelines to Brandon's current income, the resulting monthly obligation would differ from the existing $850 order by well in excess of fifteen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parties' younger child has been diagnosed with a developmental disability since entry of the prior order. This diagnosis has generated a recurring need for therapeutic services that were not accounted for in the 2021 order. Tomas has been unable to increase his work hours because he bears the primary caregiving responsibility for this child, including coordinating and attending therapeutic appointments and providing the additional support the child requires at home. Tomas continues to earn approximately $24,000 annually. The combined effect of Brandon's increased income and the children's increased financial needs constitutes a material change in circumstances that requires modification of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child support may be modified if the court determines that a change in circumstances requires the modification and the modification is in the best interests of the child. Under AS 25.24.170(a), after judgment is entered in a dissolution proceeding, the court may, upon the motion of either party, set aside, alter, or modify so much of the judgment as provides for the maintenance of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977(c)(1) provides that the court may vary the child support award as calculated under the other provisions of the rule for good cause upon proof by clear and convincing evidence that manifest injustice would result if the support award were not varied, and that good cause may include a finding that unusual circumstances exist which require variation of the award in order to award an amount of support which is just and proper for the parties to contribute toward the nurture and education of their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hold that a material change in circumstances will be presumed when recalculated support under the guidelines differs from the existing order by more than fifteen percent. Berkbigler v. Berkbigler, 921 P.2d 628 (Alaska 1996). Trial courts have broad discretion in deciding whether to modify child support orders, and the primary purpose of the support guidelines is to ensure that child support orders are adequate to meet the needs of children, subject to the ability of parents to pay. Holmes v. Holmes, 414 P.3d 662 (Alaska 2018). A failure to realize the reasonable expectations upon which a prior order is based, including changes in the financial condition of either party, may constitute a change in circumstances warranting modification. Headlough v. Headlough, 534 P.2d 633 (Alaska 1982).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Brandon's Substantially Increased Income Constitutes a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is a material change in circumstances. AS 25.20.110(a). Brandon's income has risen from approximately $52,000 to $89,000 per year since entry of the 2021 order. Applying Alaska's child support guidelines to this increased income yields a monthly support obligation that exceeds the current $850 order by more than fifteen percent, triggering the presumption of a material change in circumstances recognized in Berkbigler v. Berkbigler, 921 P.2d 628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Headlough v. Headlough, 639 P.2d 1010 (Alaska 1982), the Alaska Supreme Court recognized that when one parent's income significantly exceeds the other's, and when the custodial parent's resources are insufficient to adequately provide for the children, modification of the support obligation is appropriate. The court is to examine the financial situation of both parents and determine whether the equities justify placing a greater burden on one and a correspondingly lesser burden on the other. Here, Brandon's income is now more than three and a half times Tomas's annual earnings. Tomas cannot increase his hours due to caregiving obligations that are themselves a direct product of the children's circumstances. The disparity in earning capacity between the parties, measured against the increased needs of the children, makes modification not only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explained in Mitchell v. Mitchell, 370 P.3d 1070 (Alaska 2016), changes in the financial circumstances of a parent and changes in the custodial arrangement both bear on the appropriate level of child support, and courts are empowered to reconsider the entire support obligation when a material change of circumstances is established. Brandon's income increase alone satisfies the threshold required to open the order for review, and the Court may address all factors relevant to setting the appropriate amount going forward.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Peter Chapman v. Julia Chapman, 725 P.3d 476 (Alaska 2025) illustrates that when a parent's income as reflected in tax records and employment documents differs substantially from the income on which an existing order is based, that difference provides a proper foundation for modification, including potential imputation of income where a parent underreports or voluntarily limits earnings. While Tomas does not contend that Brandon is concealing income, the Chapman decision reinforces that courts are to consider the full picture of a parent's earning capacity and actual income when evaluating modification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Children's Heightened Financial Needs Provide an Independent Basis for Modification and Support a Variance Under Civil Rule 90.3(c)(1).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younger child's recent diagnosis of a developmental disability, and the resulting need for ongoing therapeutic services, represents a change of circumstances that was not contemplated at the time of the 2021 order. Alaska courts recognize that a modification of an existing support award is appropriate when the needs of the children have increased materially since entry of the prior order. Headlough v. Headlough, 639 P.2d 1010 (Alaska 1982). The costs associated with developmental therapy, specialized educational support, and the other services the child requires constitute legitimate expenses to be considered in determining the appropriate support level.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that the standard guideline calculation under Rule 90.3 does not fully capture the costs generated by the child's therapeutic needs, Civil Rule 90.3(c)(1) provides that the court may vary the child support award as calculated under the other provisions of this rule for good cause upon proof by clear and convincing evidence that manifest injustice would result if the support award were not varied, and that good cause may include a finding that unusual circumstances exist which require variation of the award in order to award an amount of support which is just and proper for the parties to contribute toward the nurture and education of their children. A child's diagnosed developmental disability, with attendant ongoing therapeutic expenses not accounted for in a prior order, is precisely the kind of unusual circumstance the rule contemplates. Tomas is prepared to provide documentation of the therapeutic services, their costs, and the extent to which those costs are not covered by insurance, to support a finding of good cause for any variance from the standard guideline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Requested Modification of Approximately $1,400 Per Month Is Just, Proper, and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requested monthly support obligation of approximately $1,400 reflects the application of Alaska's child support guidelines to Brandon's current income of $89,000 per year, accounting for Tomas's part-time income of approximately $24,000 per year and the primary physical custody arrangement of approximately 245 overnights. Under AS 25.27.060(a), the court is to carefully consider the need for support, the ability of both parents to meet support obligations, the extent to which the parents supported the child before divorce, and the economic ability of the parents to pay after separation and divorce. Each of these factors weighs in favor of the requested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now earns substantially more than he did at the time of the prior order and has significantly greater capacity to contribute to his children's support and care. Tomas's earning capacity remains constrained by the caregiving demands imposed by the younger child's disability, demands that are ongoing and foreseeable for the near future. The children's needs have grown, not diminished, since the 2021 order. Requiring Brandon to pay $1,400 per month is consistent with his elevated income, consistent with the children's needs, and consistent with the equitable sharing of financial responsibility that Alaska law requires.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court recognized in Holmes v. Holmes, 414 P.3d 662 (Alaska 2018), the primary purpose of Rule 90.3 is to ensure that child support orders are adequate to meet the needs of children, subject to the ability of parents to pay. That purpose would be disserved by leaving in place a support order premised on income and circumstances that no longer reflect reality. The requested modification is a straightforward application of the guideline to current facts, supported by the additional equitable considerations arising from the child's diagnosis.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Tomas Nakamura respectfully requests that this Court enter an order modifying the existing child support obligation to reflect Brandon Nakamura's current annual income of $89,000, the children's increased financial needs arising from the younger child's developmental disability, and the applicable Alaska child support guidelines, resulting in a revised monthly support obligation of approximately $1,400. Tomas further requests that the Court make any additional findings necessary to support a variance under Civil Rule 90.3(c)(1) to address the therapeutic and specialized care expenses not captured by the standard guideline calculation, and that the modified order take effect as of the date of filing of this petition.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2026-08-15T00:13:29.192Z</dcterms:created>
  <dcterms:modified xsi:type="dcterms:W3CDTF">2026-08-15T00:13:29.192Z</dcterms:modified>
</cp:coreProperties>
</file>

<file path=docProps/custom.xml><?xml version="1.0" encoding="utf-8"?>
<Properties xmlns="http://schemas.openxmlformats.org/officeDocument/2006/custom-properties" xmlns:vt="http://schemas.openxmlformats.org/officeDocument/2006/docPropsVTypes"/>
</file>