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DIVORCE/DISSOLUTION FILING INVOLVING MINOR CHILDREN</w:t>
      </w:r>
    </w:p>
    <w:p>
      <w:pPr>
        <w:spacing w:after="0" w:before="0" w:line="240"/>
        <w:jc w:val="center"/>
      </w:pPr>
      <w:r>
        <w:rPr>
          <w:rFonts w:ascii="Times New Roman" w:cs="Times New Roman" w:eastAsia="Times New Roman" w:hAnsi="Times New Roman"/>
          <w:b w:val="false"/>
          <w:bCs w:val="false"/>
          <w:sz w:val="24"/>
          <w:szCs w:val="24"/>
        </w:rPr>
        <w:t xml:space="preserve">(doc-0012)</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matter arises from a petition for dissolution of marriage filed by Petitioner David Okafor in Alaska Superior Court, Family Division, following the irretrievable breakdown of his marriage to Respondent Colin Okafor. The parties were married in Anchorage, Alaska in 2015 and are the parents of two minor children, ages six and nine. The central issues before the Court are: (1) the proper physical custody arrangement and corresponding parenting time schedule for the minor children; (2) the appropriate calculation of child support under the Alaska Child Support Guidelines; and (3) a just and equitable division of the marital estate, including the family home in Eagle River, a joint savings account, two vehicles, and a shared credit card debt.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respectfully submits this brief in support of his proposed dissolution terms. He seeks primary physical custody of the children during the school year, with Colin exercising parenting time every other weekend and six weeks in the summer, child support calculated on Colin's gross oil field income of approximately $140,000 per year, and retention of the marital home to provide stability and continuity for the children. David is prepared to address Colin's request for an offsetting cash payment and proposes that the remaining assets and liabilities be divided in a manner that fairly allocates the economic effect of dissolution consistent with Alaska law.</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Okafor and Colin Okafor were married in Anchorage, Alaska on or about 2015. The marriage produced two minor children: a nine-year-old and a six-year-old (hereinafter "the children"). Throughout the marriage, David served as the children's primary caregiver, managing the household, arranging schooling and medical care, and attending to the children's daily needs. Colin has worked on the North Slope in the oil and gas industry under a rotational schedule that requires him to be away from the family home for two-week intervals at a time, earning approximately $140,000 per year in gross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Over the past two years, the marriage deteriorated due to Colin's extended work absences and ongoing disputes over finances and parenting responsibilities. David filed a petition for dissolution in Alaska Superior Court, Family Division, seeking, among other things, primary physical custody of the children, appropriate child support, and an equitable division of the marital estate.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marital estate consists of: (1) the family home located in Eagle River, Alaska; (2) a jointly held savings account of approximately $85,000; (3) two motor vehicles; and (4) a shared credit card balance of approximately $22,000.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proposes that the children reside primarily with him during the school year, with Colin having parenting time every other weekend and six full weeks during the summer. Colin counters that he should share equal legal custody and receive additional parenting time structured around his two-weeks-on, two-weeks-off North Slope work rotation. Regarding property, David seeks to retain the family home to provide continuity and stability for the children. Colin requests an offsetting cash payment to equalize the asset division. As to child support, David contends that Colin's annual income of approximately $140,000 should yield a support obligation consistent with the applicable Alaska Child Support Guidelines, while Colin argues that his out-of-pocket travel costs and irregular pay periods warrant a downward adjustment.</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courts dissolving a marriage must address four principal areas: child custody and visitation, child support, property division, and allocation of debts. Each area is governed by specific statutory authority and court rules.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25.20.110(a), an award of custody may be made or modified when the court determines that such an arrangement is in the best interests of the child. The court must consider all relevant circumstances, including the history of each parent's involvement with the children and compliance with prior orders.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is governed by Civil Rule 90.3(a), which establishes that a support award in a primary physical custody case is calculated by multiplying the non-custodial parent's adjusted annual income by a specified percentage. For two children, that percentage is 27% under Civil Rule 90.3(a)(2)(B). The rule defines "adjusted annual income" as the parent's total income from all sources minus certain enumerated deductions. Civil Rule 90.3(b) governs shared and divided custody arrangements and provides an alternative calculation method.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Property division in a dissolution proceeding is governed by AS 25.24.160(a)(4), which requires that the division of property "fairly allocate the economic effect of divorce" based on consideration of specific statutory factors, including the length of the marriage, the age and health of the parties, the earning capacity of each party, the financial condition of the parties, the conduct of the parties, the desirability of awarding the family home to the custodial parent, the circumstances and necessities of each party, the time and manner of acquisition of property, and the income-producing capacity and value of the property. Spousal maintenance, if any, is governed by AS 25.24.160(a)(2) and requires a similar multi-factor analysis.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overall dissolution process for a jointly filed petition is governed by AS 25.24.200 and AS 25.24.210, which require the parties to present written agreements on custody, support, visitation, and property division for the court's review. Under AS 25.24.220(d), the court must examine whether the agreements are just, whether they reflect the best interests of the children, and whether they constitute the entire agreement between the parties. Where heightened scrutiny is warranted, AS 25.24.220(h) and (i) provide that the court must conduct a more searching examination of the terms.</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The Court Should Award David Primary Physical Custody of the Minor Children During the School Year Because That Arrangement Is in the Children's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paramount consideration in any custody determination is the best interests of the children. AS 25.20.110(a) provides that a custody award shall be made based on what "is in the best interests of the child," and the court must enter its reasons on the record if a parent opposes the arrangement and the proposed order is granted.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this case, the evidence overwhelmingly supports placing primary physical custody with David during the school year. David has been the children's consistent, day-to-day caregiver throughout the marriage. He has managed schooling, medical appointments, extracurricular activities, and daily routines. Colin, by contrast, is absent from the family home on a regular basis for two-week periods due to his North Slope work schedule, making it structurally difficult for him to serve as the primary residential parent during the school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David's proposal provides each child with a stable, consistent home environment during the academic year, which serves their educational and emotional needs. Colin would retain meaningful parenting time: alternating weekends during the school year and a full six-week block during the summer. This schedule accommodates Colin's work rotation while ensuring that the children maintain a close relationship with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Colin's counter-proposal of a custody schedule tied to his two-weeks-on, two-weeks-off work rotation presents significant practical difficulties. Because Colin is physically unavailable during his two-week North Slope shifts, the children would necessarily be in David's care during those periods regardless. Structuring a nominally equal custody schedule around Colin's absence does not serve the children's stability and would require frequent transitions between households even during the school year. The Alaska Supreme Court has recognized, in cases such as Dragseth v. Dragseth, 210 P.3d 1206 (Alaska 2009), that trial courts have broad discretion in determining child custody and that the totality of circumstances must guide the analysis. Here, the totality of circumstances favors David's proposal.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as the court recognized in Helen S.K. v. Samuel M.K., 288 P.3d 463 (Alaska 2012), courts may look to the practical realities of each parent's schedule and earning patterns when structuring custody arrangements, and may impute parental responsibilities based on actual availability. Colin's regular and extended absences from Anchorage are a structural feature of his employment, not a temporary condition, and the Court should fashion a custody arrangement that reflects this reality.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25.24.220(d)(2) requires the court to determine whether the custody agreement "is just as between the spouses and in the best interests of the children of the marriage." David's proposed arrangement satisfies both prongs of this test. It provides the children with a settled home base while preserving Colin's substantial parenting time, particularly during summer when his availability is greatest and the school schedule does not impose competing demands.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Child Support Should Be Calculated Based on Colin's Full Adjusted Annual Income Under Civil Rule 90.3(a), and a Downward Deviation Is Not Warranted.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 provides that a child support award in a primary physical custody case is calculated "as an amount equal to the adjusted annual income of the non-custodial parent multiplied by a percentage specified in subparagraph (a)(2)." For two children, the applicable percentage is 27%. Civil Rule 90.3(a)(1) defines "adjusted annual income" as "the parent's total income from all sources minus" certain specific deductions, including mandatory tax obligations, union dues, mandatory retirement contributions, and limited voluntary retirement contributions, as well as work-related child care expenses and health insurance premiums subject to stated caps.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Colin earns approximately $140,000 per year in gross income from his North Slope employment. This figure forms the starting point for the adjusted annual income calculation. Colin has argued that his out-of-pocket travel costs and irregular pay periods warrant a downward adjustment. Neither argument supports a deviation from the guidelines.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travel expenses are not listed among the deductions permitted by Civil Rule 90.3(a)(1). The rule's enumerated deductions are exclusive: only mandatory tax obligations, mandatory retirement and union contributions, limited voluntary retirement contributions, child or spousal support obligations from other relationships, in-kind support for prior children, work-related child care expenses, and health insurance premiums may reduce gross income. Commute and travel costs, even when substantial, are not recognized deductions under the rule. The Alaska Supreme Court confirmed in Sharon Thompson v. Everett Thompson, 454 P.3d 981 (Alaska 2019), that adjusted annual income is calculated by applying the specific deductions enumerated in Civil Rule 90.3(a)(1), and no others.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Colin's irregular pay periods do not justify a downward adjustment. Civil Rule 90.3(a) is designed to address annualized income, and the rule expressly contemplates parents whose income varies by season or pay cycle. The court is required to assess total income from all sources on an annual basis and may, in appropriate cases, order unequal monthly payments to account for income seasonality under Civil Rule 90.3(b)(1)(D)(ii), but irregularity in pay timing does not reduce the income base itself.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also be aware that Civil Rule 90.3(a)(4) permits the court to calculate child support based on a parent's potential income if that parent "voluntarily and unreasonably is unemployed or underemployed." While David does not assert at this time that Colin is underemployed, this provision reinforces that the guideline is designed to hold parents accountable for their actual earning capacity, not to reward departures from that capacity through selective expense claims.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Applying the 27% rate for two children to Colin's adjusted annual income, after only those deductions expressly authorized by Civil Rule 90.3(a)(1), will yield a support obligation that appropriately reflects Colin's financial capacity and the children's needs. David urges the Court to compute support accordingly and to decline any invitation to deviate downward based on unenumerated expense claims.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in Brown v. Brown, 914 P.2d 206 (Alaska 1996) that the child support guidelines must be applied faithfully and that deviations require clear justification grounded in the text of the rule. Colin has offered no such justification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David Is Entitled to Retain the Marital Home in Eagle River, and the Division of Remaining Marital Assets and Liabilities Should Fairly Allocate the Economic Effect of Dissolution.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25.24.160(a)(4) directs the court to divide the parties' property "in a just manner" and requires that "the division of property must fairly allocate the economic effect of divorce" by considering a comprehensive list of statutory factors. Among those factors, AS 25.24.160(a)(4)(F) specifically identifies "the desirability of awarding the family home, or the right to live in it for a reasonable period of time, to the party who has primary physical custody of children" as a relevant consideration.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factor strongly favors David's retention of the Eagle River home. David will serve as the children's primary residential parent during the school year. The children are currently six and nine years old, and continuity of their home environment, school district, neighborhood relationships, and community ties directly serves their well-being. Uprooting them from the family home would compound the disruption already caused by the dissolution and is contrary to the children's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recognized the importance of this factor in property division. In Day v. Williams, 285 P.3d 256 (Alaska 2012), the court affirmed that equal division of property is the general presumption, but that the statutory factors, including the desirability of awarding the family home to the custodial parent, may support a deviation from strict equality. Similarly, in Partridge v. Partridge, 239 P.3d 680 (Alaska 2010), the court upheld a property distribution that gave weight to the parties' respective circumstances and necessities, consistent with AS 25.24.160(a)(4)(G). Green v. Green, 29 P.3d 854 (Alaska 2001) further confirms that the trial court has discretion to weigh these factors and reach a result that is equitable given the particular circumstances of the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acknowledges that Colin holds an interest in the marital home and is entitled to fair compensation for that interest. David proposes that the parties obtain an independent appraisal of the home's fair market value and that Colin receive an equalizing payment drawn from the parties' joint savings account of approximately $85,000. The savings account balance, after payment of the equalizing amount, would be divided between the parties. This approach achieves the twin goals of stability for the children and fair economic allocation between the spouses.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two vehicles should be awarded one to each party based on current use and need, with any difference in value addressed through the overall offset calculation. The shared credit card balance of approximately $22,000 should be allocated equitably, taking into account each party's contributions to that balance and their respective abilities to service the debt going forward. AS 25.24.160(a)(4)(C) and (D) require the court to consider the earning capacity and financial condition of each party, including the availability and cost of health insurance. Colin earns approximately $140,000 per year; David, as the primary caregiver throughout the marriage, may have a reduced current earning capacity as a result of his custodial responsibilities during the marriage. These facts support placing a greater portion of the shared debt burden on Colin, or at minimum dividing it equally, while allowing David to retain the home with an appropriate offset.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25.24.200(a)(3) requires that any property agreement "be fair and just and take into consideration the factors listed in AS 25.24.160(a)(2) and (4) so that the economic effect of dissolution is fairly allocated." The framework David proposes satisfies this standard. It honors the statutory preference for awarding the family home to the custodial parent, compensates Colin equitably from existing liquid assets, and allocates debts in proportion to the parties' respective financial capacities.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Should Apply Heightened Scrutiny to the Written Agreements If Any Imbalance of Bargaining Power Is Present.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25.24.220(h) requires the court to apply a heightened level of scrutiny to the parties' written agreements in dissolution proceedings under specified circumstances, including when one party is represented by counsel and the other is not, when there is a minor child of the marriage, or when there is a patently inequitable division of the marital estate. In this case, the presence of two minor children triggers the heightened scrutiny provision under AS 25.24.220(h)(3). The Court is therefore obligated under AS 25.24.220(i) to "examine the written agreements between the spouses to determine that they are just, that they constitute the entire agreement between the parties, and that the agreements concerning child custody, child support, and visitation are in the best interest of the children of the marriage."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welcomes this heightened review. His proposed terms are designed precisely to withstand close judicial scrutiny: the custody arrangement is child-centered and practically workable, the child support calculation is grounded in the mandatory guidelines, and the property division fairly compensates both parties while recognizing the children's need for a stable home. David requests that the Court conduct the required examination and enter a dissolution decree that reflects the statutory mandate of fairness, both as between the parties and, most importantly,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25.24.250(c) further provides that dissolution forms and instructions "must specify that the dissolution petition constitutes the entire agreement between the parties." David confirms that all agreements and proposals set forth in the dissolution petition and in this brief represent his complete position, and that no side agreements or informal understandings exist that are not reflected in the record before the Court.</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David Okafor respectfully requests that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Award David primary physical custody of the two minor children during the school year, with Colin exercising parenting time every other weekend and six consecutive weeks during the summer, consistent with AS 25.20.110(a) and the children's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Calculate Colin's child support obligation under Civil Rule 90.3(a) using his full adjusted annual income of approximately $140,000 per year at the 27% rate applicable to two children, without downward deviation based on unenumerated travel costs or pay irregularities;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Award David the marital home in Eagle River pursuant to AS 25.24.160(a)(4)(F), with Colin receiving an equalizing offset drawn from the joint savings account;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Divide the remaining marital assets, including the two vehicles and the joint savings account balance after the home offset, and allocate the shared credit card debt equitably between the parties based on the factors enumerated in AS 25.24.160(a)(4);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Apply the heightened scrutiny required by AS 25.24.220(h) and (i) in reviewing all written agreements, consistent with the presence of minor children;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Enter a final decree of dissolution that fairly allocates the economic effect of the dissolution consistent with AS 25.24.160(a), AS 25.24.200(a)(3), and all applicable Alaska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Okafor respectfully submits that the proposals set forth herein serve the best interests of the children, reflect a fair and just allocation of marital assets and liabilities, and comport with all requirements of Alaska dissolution law.</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2026-08-16T18:04:39.692Z</dcterms:created>
  <dcterms:modified xsi:type="dcterms:W3CDTF">2026-08-16T18:04:39.692Z</dcterms:modified>
</cp:coreProperties>
</file>

<file path=docProps/custom.xml><?xml version="1.0" encoding="utf-8"?>
<Properties xmlns="http://schemas.openxmlformats.org/officeDocument/2006/custom-properties" xmlns:vt="http://schemas.openxmlformats.org/officeDocument/2006/docPropsVTypes"/>
</file>