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Ashley Bergstrom, Petitioner, in the above-captioned dissolution proceeding. Ashley and Wesley Bergstrom were married in Anchorage, Alaska in 2014 and are the parents of two minor children, ages six and nine. After years of marital deterioration attributable in significant part to Wesley's extended work absences on the North Slope and persistent financial disputes, Ashley filed for dissolution in the Alaska Superior Court, Family Division, in 2024. Three core issues are before the Court: (1) the proper physical custody arrangement and parenting schedule for the parties' two minor children; (2) the correct calculation of child support under Civil Rule 90.3, including whether Wesley's overtime and hazard pay must be included in his income base; and (3) the equitable division of the parties' jointly owned Eagle River home, which carries approximately $100,000 in net equity, and roughly $45,000 in shared marital debt. Ashley respectfully submits that the evidence and applicable Alaska law support a primary physical custody arrangement in her favor, a child support award calculated on Wesley's total income from all sources including overtime and hazard pay, and an equitable distribution of marital assets and liabilities that accounts for the economic realities facing each party following dissolution.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and Wesley Bergstrom were married in Anchorage, Alaska in 2014. The marriage produced two minor children: a nine-year-old and a six-year-old, both of whom have resided primarily with Ashley in Eagle River throughout the marriage. Wesley works as a pipeline technician on the North Slope, operating on a two-weeks-on, two-weeks-off rotation that requires him to be physically absent from the family home for extended and recurring periods. His employment generates a substantially higher income than Ashley's, and that income includes not only a base salary but also overtime pay and hazard pay associated with the demanding conditions of North Slope 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course of the marriage, the parties accumulated marital property and debt. Their primary marital asset is the jointly owned family home in Eagle River, currently valued at approximately $310,000 with a remaining mortgage balance of approximately $210,000, yielding net equity of approximately $100,000. The parties also accumulated approximately $45,000 in shared credit card and vehicle loan debt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has been the primary caregiver for the children throughout their lives, managing their day-to-day needs, schooling, medical appointments, and extracurricular activities, particularly during Wesley's recurring two-week absences. She now proposes a custody arrangement in which the children reside with her during the school year, with Wesley receiving visitation on alternating weekends and for six weeks during the summer. Wesley counters that he seeks a 50/50 shared custody schedule aligned with his two-weeks-on, two-weeks-off work rotation. Both parties agree that Wesley shall pay child support consistent with Civil Rule 90.3, but dispute whether his overtime and hazard pay should be counted toward the income base used in that 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shall determine custody in accordance with the best interests of the child, considering factors including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 close and continuing relationship with the other parent; any evidence of domestic violence, child abuse, or child neglect; evidence of substance abuse affecting the child's well-being;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court considers whether to award shared custody specifically, AS 25.20.090 sets forth additional factors, including the needs of the child, the stability of the home environment offered by each parent, the education of the child, the advantages of keeping the child in the community where the child currently resides, and the optimal time for the child to spend with each parent, accounting for actual time spent, proximity to school, and the willingness of each parent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908(a), which provides that a child support award in a primary physical custody case equals the non-custodial parent's adjusted annual income multiplied by the applicable percentage, specifically 27% for two children. Adjusted annual income is defined as the parent's total income from all sources minus certain enumerated deductions. Civil Rule 90.3(b) governs shared custody calculations using a different formula that accounts for each parent's income and the time each parent exercises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is governed by AS 25.24.160(a)(4), which requires that property acquired during the marriage be divided in a just manner and without regard to fault, with the division fairly allocating the economic effect of dissolution based on enumerated factors including the length of the marriage, the age and health of the parties, the earning capacity of each party, the financial condition of the parties, the desirability of awarding the family home to the party with primary physical custody of the children, the circumstances and necessities of each party under all circumstances,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ASHLEY PRIMARY PHYSICAL CUSTODY OF THE CHILDREN BECAUSE THAT ARRANGEMENT BEST SERVES THEIR INTERESTS UNDER AS 25.24.150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any custody determination is the best interests of the children. AS 25.24.150(c) directs the court to weigh a comprehensive set of factors focused entirely on the well-being of the minor children. Applied here, those factors strongly support the primary physical custody arrangement Ashley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continuity of care and stability weigh heavily in Ashley's favor. AS 25.24.150(c)(5) expressly directs the court to consider the length of time the child has lived in a stable, satisfactory environment and the desirability of maintaining continuity. Throughout their lives, the children have resided primarily with Ashley in the Eagle River family home, attending school and building friendships in that community. Their routines, schooling, and social relationships are anchored there. Disrupting that stability by imposing a rigid 50/50 rotation would require the children to alternate between homes on a schedule that may not align with school calendars, extracurricular obligations, or the children's own emotional needs. The Alaska Supreme Court has recognized that preserving established, stable home environments serves children's best interests. Brown v. Brown, 914 P.2d 206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practical realities of Wesley's work schedule counsel against a 50/50 arrangement. Wesley's North Slope rotation means he is physically unavailable to care for the children for two weeks at a time, on a recurring basis. Although his two-weeks-off periods do provide meaningful time, a 50/50 schedule premised on that rotation would subject the children to significant disruption whenever Wesley's shift schedule shifts or overlaps with school obligations. AS 25.20.969 directs the court to consider the optimal time for the child to spend with each parent, including the actual time spent with each parent, the proximity of each parent to school, and the feasibility of travel. Wesley's employment location on the North Slope during his on-rotation weeks is fundamentally incompatible with day-to-day parental responsibility during those periods. A primary custody arrangement with Ashley, supplemented by substantial visitation during Wesley's off-rotation periods, more accurately reflects the actual parenting time each parent can reliably provide.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25.20.090(3) directs the court to consider the stability of the home environment likely to be offered by each parent. Ashley has maintained a stable, continuous home environment for the children throughout the marriage. Her consistent presence, as opposed to Wesley's recurring two-week absences, demonstrates that her home provides the greater degree of stability. This is not a criticism of Wesley's dedication as a father; rather, it is a recognition that the structural demands of his employment have placed the primary caregiving burden on Ashley, and that the children's interests are best served by formalizing what has been their lived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children's educational needs support Ashley's proposed arrangement. AS 25.20.090(4) identifies the education of the child as a relevant factor. Both children are of school age, and their academic schedules are fixed and predictable. Ashley's proposed arrangement, with the children residing primarily with her during the school year, directly aligns the custody schedule with the academic calendar, promoting consistency and educational stability. A rotating 50/50 schedule built around Wesley's shift work may not consistently align with school schedules and could introduce unnecessary uncertainty into the children's academic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does not seek to exclude Wesley from his children's lives. She supports a meaningful visitation schedule, including alternating weekends and six full weeks during the summer, which will allow Wesley to maintain a close and loving relationship with the children during his off-rotation periods. AS 25.24.150(c)(6) requires the court to consider the willingness and ability of each parent to facilitate a close and continuing relationship between the other parent and the child. Ashley's proposed parenting plan reflects her commitment to supporting that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custody determinations must focus on the actual needs and circumstances of the children rather than on the preferences or convenience of the parents. Faulkner v. Goldfuss, 46 P.3d 993 (Alaska 2002). Here, the children's needs for stability, educational consistency, and a reliable primary caregiver point clearly to an award of primary physical custody to Ashley, with generous and structured visitation for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WESLEY'S CHILD SUPPORT OBLIGATION MUST BE CALCULATED ON HIS TOTAL INCOME FROM ALL SOURCES, INCLUDING OVERTIME AND HAZARD PAY,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agree that Wesley is obligated to pay child support under Civil Rule 90.3. The dispute is whether his overtime pay and hazard pay should be included in the income base used to calculate that support. Alaska law is clear: they must be included.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enumerated deductions. The rule's definition is broad and unambiguous. Overtime pay and hazard pay are components of Wesley's compensation for his work as a pipeline technician on the North Slope. They are income from his employment, and nothing in Civil Rule 90.3(a)(1) excludes them. The Alaska Supreme Court has consistently interpreted this income definition broadly, in keeping with the rule's purpose of ensuring that child support reflects the parent's actual financial capacity. State, Child Support Enforcement Division v. Bromley, 987 P.2d 183 (Alaska 1999). The primary beneficiary of support is the child, and the support calculation must capture the obligor parent's true earning capacity.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may argue that his overtime and hazard pay are irregular or uncertain and therefore should not be included. Alaska courts have not recognized irregularity alone as a basis for excluding documented income from the support calculation. The court has the authority under Civil Rule 90.3(a)(4) to consider a parent's potential income when a parent is voluntarily underemployed, and more generally, courts look to the realistic earning picture the obligor parent's work history presents. Sharon Thompson v. Everett Thompson, 454 P.3d 981 (Alaska 2019) (affirming a child support calculation based on a parent's actual work history and earning pattern). Wesley's employment records will demonstrate that overtime and hazard pay are not occasional windfalls but are regular and predictable features of North Slope pipeline work. Accordingly, they must be reflected in his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Wesley's total income from all sources is properly calculated, the applicable multiplier under Civil Rule 90.3(a)(2) for two children is 27% (.27) of his adjusted annual income. If the Court awards primary physical custody to Ashley as argued above, the primary custody formula in Civil Rule 90.3(a) governs. If, contrary to Ashley's position, the Court were to award shared physical custody, the more complex formula under Civil Rule 90.3(b) would apply, but even under that formula Wesley's total income, including overtime and hazard pay, would remain the proper starting point for the calculation on his side of the ledger.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the Court order Wesley to provide complete documentation of his earnings, including base wages, overtime pay, hazard pay, and any other compensation, for the preceding three years, so that the Court can make an accurate determination of his adjusted annual income for purposes of Civil Rule 90.3. Bergstrom v. Lindback, 779 P.2d 1235 (Alaska 1989) (emphasizing the importance of accurate income determination in child support calculations).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AWARD ASHLEY THE FAMILY HOME AND EQUITABLY DIVIDE THE MARITAL DEBT IN A MANNER THAT FAIRLY ALLOCATES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is governed by AS 25.24.160(a)(4), which requires the court to divide property acquired during the marriage in a just manner, without regard to fault, based on enumerated factors designed to fairly allocate the economic effect of dissolution. The parties' primary asset is the Eagle River family home, with a net equity of approximately $100,000. Their primary liabilities are approximately $45,000 in shared credit card and vehicle loan debt accumulated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Ashley Should Be Awarded the Family Home or Its Equivalent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specifically identifies the desirability of awarding the family home, or the right to live in it for a reasonable period of time, to the party who has primary physical custody of children as a factor the court must consider. This provision reflects the legislature's recognition that continuity of the home environment is closely linked to the children's well-being and that requiring the custodial parent and children to move unnecessarily compounds the disruption already caused by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children have grown up in the Eagle River home. Their school, friends, and community connections are rooted in that neighborhood. Awarding the home to Ashley, or at minimum awarding her sufficient equity to secure equivalent housing in the same community, directly serves the children's best interests and the statutory mandate of AS 25.24.160(a)(4)(F). The Alaska Supreme Court has affirmed the importance of this factor in equitable property division. Brown v. Brown, 914 P.2d 206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home-award preference, the court must consider the earning capacity of each party under AS 25.24.160(a)(4)(C). Wesley's income as a pipeline technician substantially exceeds Ashley's earning capacity. That disparity means that Wesley is far better positioned to secure alternative housing following dissolution. Awarding Ashley the family home, or its equivalent equity, is just and equitable when the parties' respective earning capacities and financial conditions are weighed against one another. AS 25.24.160(a)(4)(D) also directs the court to consider the financial condition of the parties, including the availability and cost of health insurance, which further underscores the economic vulnerability Ashley faces relative to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consider three potential approaches: (a) award Ashley the home and require her to refinance the mortgage in her name alone, compensating Wesley for his share of net equity through a property settlement note or other mechanism; (b) order the home sold and divide the net proceeds equitably with a greater share to Ashley in light of the statutory factors; or (c) allow Ashley the right to remain in the home for a defined period sufficient to minimize disruption to the children's schooling, with a deferred sale thereafter. Any of these approaches is consistent with AS 25.24.160(a)(4). Ashley submits that option (a), outright award of the home to her with a corresponding payment to Wesley for his equitable share, best serves the children's need for stability and is achievable given the available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Marital Debt Should Be Divided Equitably, with Responsibility Allocated in Proportion to Each Party's Financial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approximately $45,000 in shared credit card and vehicle loan debt was accumulated during the marriage and constitutes a marital obligation subject to equitable division. AS 25.24.160(a)(4) does not limit the court's authority to property alone; the court's equitable mandate encompasses the allocation of marital liabilities as well. The court must consider the circumstances and necessities of each party under AS 25.24.160(a)(4)(G) and the earning capacity of each party under AS 25.24.160(a)(4)(C).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Wesley's income substantially exceeds Ashley's, a strictly equal 50/50 division of the marital debt would impose a disproportionate financial burden on Ashley relative to her capacity to absorb it. A just allocation would assign Wesley a greater share of the marital debt, proportionate to the disparity in their earning capacities, while ensuring that Ashley is not left with obligations she cannot reasonably service following dissolution. This approach is consistent with the statutory requirement that property division fairly allocate the economic effect of dissolution.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further requests that any debt allocation order include provisions protecting her credit from default in the event Wesley fails to pay debts allocated to him. The court has authority under AS 25.24.160 to fashion a just order, and that authority encompasses protective provisions designed to prevent one party's non-compliance from harming the other party financially.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both property division and support awards must be viewed together as part of a comprehensive effort to achieve a fair economic outcome following dissolution. Ruppe v. Ruppe, 358 P.3d 1284 (Alaska 2015). Viewed holistically, awarding Ashley primary physical custody, a child support order based on Wesley's full income, and a favorable allocation of the family home and marital debt produces a result that fairly accounts for the length of the marriage, the parties' respective earning capacities, Ashley's role as primary caregiver, and the children's need for stability and continuity.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Bergstrom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Ashley primary physical custody of the parties' two minor children, with Wesley receiving visitation on alternating weekends and for six weeks during the summer, consistent with AS 25.24.150(c)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Wesley to pay child support calculated under Civil Rule 90.3(a) based on his adjusted annual income from all sources, including base wages, overtime pay, and hazard pay, at the applicable rate of 27%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Ashley the family home located in Eagle River or, in the alternative, award her sufficient equity from the sale of that home to secure comparable housing in the same community, consistent with AS 25.24.160(a)(4)(F);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Allocate the parties' approximately $45,000 in shared marital debt in a manner proportionate to their respective earning capacities, with Wesley bearing a greater share consistent with his substantially higher income, pursuant to AS 25.24.160(a)(4);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relief as the Court deems just and proper under AS 25.24.160.</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2026-08-16T18:08:06.734Z</dcterms:created>
  <dcterms:modified xsi:type="dcterms:W3CDTF">2026-08-16T18:08:06.734Z</dcterms:modified>
</cp:coreProperties>
</file>

<file path=docProps/custom.xml><?xml version="1.0" encoding="utf-8"?>
<Properties xmlns="http://schemas.openxmlformats.org/officeDocument/2006/custom-properties" xmlns:vt="http://schemas.openxmlformats.org/officeDocument/2006/docPropsVTypes"/>
</file>