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Superior Court, Third Judicial District, on the petition for dissolution of marriage filed by Petitioner David Bergstrom. The parties were married in Anchorage, Alaska in 2015 and are the parents of two minor children, ages six and nine. The marriage has irretrievably broken down due to irreconcilable differences, including persistent conflict over financial management and differing parenting philosophies. The central disputes before the court concern the appropriate physical custody schedule for the minor children, the proper calculation of child support under Alaska's guidelines, and the equitable division of the marital estate, which includes the family home, two vehicles, joint savings and retirement accounts, and substantial marital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respectfully requests that the court award him primary physical custody of the children during the school week, with Michael Bergstrom exercising parenting time on alternating weekends and during an extended summer period; that the court calculate child support in accordance with Civil Rule 935 based on Michael's income as a petroleum engineer; and that the court divide the marital estate in a just and equitable manner consistent with Alaska law.</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and Michael Bergstrom were married in Anchorage, Alaska on or about 2015. Two children were born of the marriage: one child currently age nine and one child currently age six, both of whom are minors and residents of Alaska. The parties have resided in the family home located in Eagle River, Alaska throughout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has experienced an irremediable breakdown attributable to irreconcilable differences, including persistent disagreement over household financial management and fundamentally differing philosophies regarding parenting. These conflicts have proven impossible to resolve, and David Bergstrom filed a petition for dissolution in the Superior Court, 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the children, David proposes that the children reside with him during the school week and that Michael exercise parenting time on alternating weekends as well as for an extended period each summer. Both parties agree to share legal custody and to make all major decisions concerning the children's education, health care, and general well-being jointly. Michael disputes the proposed residential schedule and seeks a week-on, week-off shared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Bergstrom is employed as a petroleum engineer and earns a substantially higher income than David Bergstrom. The parties have not yet reached an agreement on child support, and David contends that Michael's income warrants application of the Civil Rule 90.3 guidelines in a manner that accounts for Michael's superior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family home in Eagle River, which carries a remaining mortgage balance of approximately $280,000 against an estimated market value of $410,000, yielding approximately $130,000 in equity. The marital estate also includes two vehicles, joint savings accounts, and retirement accounts accumulated during the marriage. The parties share approximately $45,000 in credit card debt. None of these assets or liabilities has been divided, and each remains subject to equitable distribution by the court.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adjudicating dissolution proceedings are guided by a framework of statutes and rules designed to protect the best interests of minor children and to achieve a fair and equitable resolution of financial matters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 a petition for dissolution may be filed when incompatibility of temperament has caused the irremediable breakdown of the marriage and when the parties have addressed, or the court will address, matters of child custody, support, visitation, property division, and debt allocation. Where the parties have not fully agreed, the court retains authority to resolve open issues at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custody, AS 25.20.090 sets forth the factors a court must consider in determining whether to award shared custody, including the needs of the child, the stability of the home environment offered by each parent, the educational needs of the child, the proximity of each parent to the other and to the child's school, the willingness and ability of each parent to facilitate a close relationship between the child and the other parent, any evidence of domestic violence or substance abuse, and any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in a dissolution proceeding is governed by AS 25.24.160, which requires the court to divide marital property in a just manner by considering factors including the length of the marriage, the age and health of the parties, the earning capacity of each party, the financial condition of the parties, the desirability of awarding the family home to the party with primary physical custody, the circumstances and necessities of each party, and the time and manner of acquisition of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calculated under Civil Rule 932(a), which provides that in cases of primary physical custody, the support award equals the non-custodial parent's adjusted annual income multiplied by a percentage set forth in the rule: twenty percent for one child and twenty-seven percent for two children. Where shared physical custody is awarded, Civil Rule 90.3(b) applies a different calculation methodology that accounts for the percentage of time each parent has physical custody and each parent's respective income. The court retains discretion to vary the guideline amount upon a showing of unusual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dissolution hearing, the court examines the parties and evaluates whether the conditions for dissolution have been met and whether any agreements are just, pursuant to AS 25.24.220. Where a minor child is involved, the court applies a heightened level of scrutiny to the agreements presented.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AWARD PRIMARY PHYSICAL CUSTODY OF THE MINOR CHILDREN TO DAVID BERGSTROM, WITH MICHAEL BERGSTROM EXERCISING ALTERNATING WEEKEND PARENTING TIME AND EXTENDED SUMMER VISITATION.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children are the paramount consideration in any custody determination. AS 25.20.090 enumerates the factors a court must weigh in assessing whether to award shared custody. Applying those factors to the circumstances of this case, primary physical custody with David Bergstrom during the school week is the arrangement best suited to serve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stability of the home environment is a critical factor under AS 25.20.908. David Bergstrom has been the primary caregiver for the children during the school week throughout the period of marital conflict. Awarding primary physical custody to David preserves the existing routines, school relationships, and community ties the children have established, thereby minimizing disruption to their daily lives. The Alaska Supreme Court has recognized the importance of maintaining continuity in a child's environment when assessing competing custody proposals. Schmitz v. Schmitz, 88 P.3d 1116 (Alaska 2004).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AS 25.20.090(4) requires the court to consider the children's educational needs. The children are ages six and nine, both enrolled in school in the Eagle River community. A primary custody arrangement with David ensures a consistent weekday schedule aligned with school attendance, homework routines, and extracurricular activities. A week-on, week-off schedule, as proposed by Michael, risks disrupting the children's educational continuity depending on each parent's proximity to the children's school.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AS 25.20.090(6)(B) and (C) require the court to consider the proximity of each parent to the other and to the children's school, and the feasibility of travel between the parents. The parties' respective residential locations and commuting logistics must be evaluated to ensure that the chosen schedule does not burden the children with excessive travel or logistical stress during the school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AS 25.20.090(6)(E) requires the court to consider the willingness and ability of each parent to facilitate and encourage a close and continuing relationship between the children and the other parent. David's proposed schedule preserves meaningful contact between the children and Michael through alternating weekends and an extended summer period, demonstrating David's good-faith commitment to Michael's continued involvement in the children's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Fifth, AS 25.20.090(2) requires the court to consider the needs of the children. The children, ages six and nine, are at developmental stages that benefit greatly from predictability, routine, and parental availability during the school week. David's proposal provides those benefits while ensuring that Michael maintains a substantial and meaningful parenting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these factors weigh in favor of awarding primary physical custody to David Bergstrom, with Michael exercising parenting time on alternating weekends and during an extended summer period, and with both parents sharing legal custody and joint decision-making authority over education, health 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custody agreements reached by the parties do not bind the court, which must independently determine what arrangement serves the children's best interests. Faulkner v. Goldfuss, 46 P.3d 993 (Alaska 2002). The court must therefore evaluate Michael's counter-proposal for a week-on, week-off schedule against each of the statutory factors rather than treating equal time-sharing as a default outcome. On the facts presented, the statutory analysis supports David's proposed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UNDER CIVIL RULE 90.3(a) BASED ON MICHAEL BERGSTROM'S ADJUSTED ANNUAL INCOME AS A PETROLEUM ENGINEER.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David Bergstrom is seeking primary physical custody, child support is governed by Civil Rule 90.3(a), which provides that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that percentage is twenty-seven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Bergstrom is employed as a petroleum engineer, a profession that carries a substantially higher income than David's. The adjusted annual income calculation under Civil Rule 90.3(a)(1) requires the court to begin with Michael's total income from all sources and to subtract only those deductions the rule expressly authorizes, including federal, state, and local income tax, Social Security and Medicare taxes, mandatory union dues, mandatory retirement contributions, and certain voluntary retirement contributions within the limits prescribed by the rule, as well as work-related child care expenses and health insurance premiums within the capped amounts.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goal of the Civil Rule 90.3 guidelines is to obtain a realistic estimate of the obligor parent's adjusted annual income, and that deductions from income must be limited to those the rule specifically authorizes. Bergstrom v. Lindback, 779 P.2d 1235 (Alaska 1989). David therefore urges the court to scrutinize any claimed deductions Michael presents and to disallow any that fall outside the enumerated categories in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recognized that child support and property division are distinct issues that must be treated separately and must not be traded off against each other. Flannery v. Flannery, 950 P.2d 126 (Alaska 1997). David Bergstrom does not seek any deviation from the Civil Rule 90.3 guidelines through property concessions; rather, he asks the court to apply the guidelines faithfully to Michael's income, ensuring that the children receive the level of support to which they are entitled based on Michael's actual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alternatively, the court determines that a shared physical custody arrangement is appropriate, child support would be recalculated under Civil Rule 90.3(b), which requires computing the amount each parent would owe the other assuming the other had primary custody, multiplying each figure by the percentage of time the other parent has physical custody, and then awarding to the parent with the larger figure the difference between the two figures multiplied by 1.5. Civil Rule 90.3(b)(1)(A)-(C). Even under that scenario, Michael's significantly higher income as a petroleum engineer would result in a meaningful support obligation to David, given the disparity in the parties' respective earnings.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further be alert to any attempt by Michael to understate his income or claim excessive deductions. Civil Rule 90.3(a)(4) authorizes the court to impute potential income to a parent who voluntarily and unreasonably is unemployed or underemployed. While David does not presently allege that Michael is underemployed, the court should require full and transparent financial disclosure from Michael so that his adjusted annual income can be computed accurately.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ESTATE SHOULD BE DIVIDED IN A JUST AND EQUITABLE MANNER CONSISTENT WITH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the marital estate, including the family home, two vehicles, joint savings and retirement accounts, and shared credit card debt, must be accomplished in accordance with AS 25.24.160(a)(4), which requires the court to divide marital property "in a just manner" based on a consideration of multiple enumerated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estate's most significant asset is the family home in Eagle River, which carries an estimated market value of $410,000 against a remaining mortgage balance of approximately $280,000, yielding approximately $130,000 in equity. Under AS 25.24.160(a)(4)(F), the court must consider "the desirability of awarding the family home, or the right to live in it for a reasonable period of time, to the party who has sole physical custody of children." Because David is seeking primary physical custody, and because stability of the home environment is a recognized factor in the children's best interests, David respectfully requests that the court award him the family home, or at a minimum the right to remain in the home with the children for a reasonable period, with appropriate credit to Michael for his share of the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home, the court must consider the length of the marriage under AS 25.24.160(a)(4)(A). The parties were married in 2015, and the dissolution is being sought approximately nine to ten years later. This is a marriage of meaningful duration, and the court should treat the property accumulated during that period as presumptively marital, subject to equitable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also consider the earning capacity of each party under AS 25.24.160(a)(4)(C). Michael's substantially higher earning capacity as a petroleum engineer is a relevant factor in fashioning a property division that fairly allocates the economic effect of dissolution. The Alaska Supreme Court has consistently held that equitable distribution does not require a precisely equal split but rather a division that is just in light of all relevant circumstances. Beal v. Beal, 209 P.3d 1012 (Alaska 2009).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financial condition of the parties, including the availability and cost of health insurance, must also be considered under AS 25.24.160(a)(4)(D). David, as the parent who will bear primary day-to-day caregiving responsibilities, will face increased household expenses associated with raising the children. The court should account for this reality in fashioning the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joint savings and retirement accounts were accumulated during the marriage and are subject to division as marital property. The court is authorized under AS 25.24.160(a)(4) to require the assignment, delivery, or conveyance of any real or personal property, including retirement benefits, to achieve a just division. David requests that retirement accounts be divided in a manner that reflects the parties' respective contributions and the overall equities of the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approximately $45,000 in shared credit card debt must also be allocated between the parties. The court's authority to address debt allocation in dissolution proceedings is established by AS 25.24.200(a)(4), which requires that petitioners have agreed, or the court will determine, the payment of all unpaid obligations incurred by either or both of them. David requests that the court allocate the marital debt in proportion to each party's ability to pay, taking into account the disparity in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courts should carefully examine property settlements in dissolution proceedings, particularly where the parties' positions are not fully aligned and where one spouse has substantially greater economic resources. Sandberg v. Sandberg, 322 P.3d 879 (Alaska 2014). The court's review under AS 25.24.220(d) must confirm that the overall property division fairly allocates the economic effect of dissolution in accordance with the factors set forth in AS 25.24.160(a)(2) and (4).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CONDUCT A THOROUGH EXAMINATION AT THE DISSOLUTION HEARING CONSISTENT WITH AS 25.24.220.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dissolution hearing, the court is required by AS 25.24.220(d) to examine the petitioners and consider whether the parties fully understand the nature and consequences of their action, whether any written agreements concerning child custody, child support, and visitation are just and in the best interests of the children, and whether any property division agreements fairly allocate the economic effect of dissolution consistent with AS 25.24.160(a)(2) and (4).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minor children are involved in this proceeding, AS 25.24.220(h)(3) requires the court to apply a heightened level of scrutiny to all agreements presented. This heightened scrutiny is warranted and appropriate here, and David Bergstrom welcomes the court's thorough examination of all proposed terms. David respectfully submits that the custody, support, and property proposals he advances in this brief are just, fair, and fully consistent with the children's best interests and the equitable principles Alaska law requires.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25.24.220(g) provides that the court may amend the written agreements between the spouses relating to child custody, child support, visitation, division of property, and allocation of obligations, but only if both petitioners concur in the amendment in writing or on the record. David is prepared to engage constructively with any amendments the court may propose, provided they serve the children's best interests and achieve a fair economic outcome.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stated above, David Bergstrom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 David Bergstrom primary physical custody of the two minor children, with Michael Bergstrom exercising parenting time on alternating weekends and during an extended summer period, and with both parents sharing legal custody and joint decision-making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Calculate child support under Civil Rule 90.3(a) based on Michael Bergstrom's adjusted annual income as a petroleum engineer, yielding an obligation of twenty-seven percent of his adjusted annual income for two children, or, if shared physical custody is ordered, recalculate support under Civil Rule 90.3(b) in a manner that accounts for the disparity in the parties' incomes;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David Bergstrom the family home in Eagle River, or the right to reside in it for a reasonable period, with appropriate equitable credit to Michael Bergstrom for his share of the marital equity, and divide the remaining marital assets and liabilities, including vehicles, savings and retirement accounts, and shared credit card debt, in a just and equitable manner consistent with AS 25.24.160;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Conduct a thorough examination at the dissolution hearing pursuant to AS 25.24.220, with the heightened level of scrutiny required by AS 25.24.220(h)(3) due to the presence of minor children, and enter a decree of dissolution that fully and fairly resolves all pending issues.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respectfully submits that the proposals advanced herein are consistent with Alaska law, serve the best interests of the minor children, and achieve a just allocation of the economic consequences of this dissolution.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2026-08-16T18:09:44.739Z</dcterms:created>
  <dcterms:modified xsi:type="dcterms:W3CDTF">2026-08-16T18:09:44.739Z</dcterms:modified>
</cp:coreProperties>
</file>

<file path=docProps/custom.xml><?xml version="1.0" encoding="utf-8"?>
<Properties xmlns="http://schemas.openxmlformats.org/officeDocument/2006/custom-properties" xmlns:vt="http://schemas.openxmlformats.org/officeDocument/2006/docPropsVTypes"/>
</file>