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Petitioner Renee Larsen in support of her petition for dissolution of marriage from Respondent Wesley Larsen. The parties were married in Anchorage, Alaska in 2014 and have two minor children, ages six and nine. After years of marital conflict stemming from Wesley's extended North Slope work absences and persistent disagreements over finances and parenting, Renee filed this petition for dissolution in Alaska Superior Court pursuant to AS 25.24.200 and AS 25.24.210.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primary disputes require resolution by this Court. First, the parties disagree about physical custody of the two minor children, with Renee proposing a primary physical custody arrangement during the school year and Wesley proposing a 50/50 shared schedule built around his industrial rotation. Second, the parties dispute the proper calculation and amount of child support, with Renee asking the Court to apply the Civil Rule 90.3 formula to Wesley's substantially higher income and Wesley seeking credits for travel costs and a secondary residence. Third, the parties cannot agree on disposition of the marital home, which holds approximately $85,000 in equity, and responsibility for a $22,000 joint credit card debt incurred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proposed resolution on each issue is grounded in Alaska law, serves the best interests of the children, and fairly allocates the economic effect of dissolution. This Court should grant the relief she requests.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Wesley Larsen were married in Anchorage, Alaska in 2014. Two children were born of the marriage: a daughter currently age nine and a son currently age six. Both children are enrolled in Anchorage schools and reside in the marital home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approximately the past two years, the marriage deteriorated due to two primary sources of conflict. First, Wesley's employment as a pipeline technician required him to work on the North Slope on a recurring two-weeks-on, two-weeks-off rotation. His extended absences placed the burden of day-to-day parenting, school coordination, medical appointments, and household management squarely on Renee. Second, the parties experienced persistent and unresolved conflict over financial decisions and parenting choices, which eroded the foundation of the marriage beyond repair.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filed this petition for dissolution based on the irremediable breakdown of the marriage due to incompatibility of temperament, as authorized by AS 25.24.200. The parties agree that the marriage has irretrievably broken down; the contested issues concern child custody, child support, and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custody, Renee proposes that the children remain with her in Anchorage as their primary residence throughout the school year. Wesley would exercise visitation on alternating weekends when he is off rotation and would have the children for four weeks during the summer. Wesley counters with a 50/50 shared schedule structured around his North Slope rotation.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child support, Wesley works as a pipeline technician and earns substantially more than Renee. Wesley does not dispute his income figure but argues that his work-related travel costs and the expense of maintaining a second residence near the job site should reduce his child support obligation. Renee requests that the Court apply the Civil Rule 90.3(a) formula straightforwardly to Wesley's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property, the parties jointly own a home in Anchorage with approximately $85,000 in equity. They also accumulated $22,000 in joint credit card debt during the marriage. Renee proposes that she receive the home in exchange for assuming the full $22,000 credit card obligation, thereby keeping the children in their established residence. Wesley requests an immediate sale of the home and an equal division of the net proceeds, as well as some sharing of the credit card debt.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Dissolution Generally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authorizes the dissolution of a marriage by petition to the superior court when incompatibility of temperament has caused the irremediable breakdown of the marriage and the conditions of AS 25.24.200 are satisfied. Under AS 25.24.210, the petition must be filed with the superior court, must recite the relevant conditions, must be signed and verified by the petitioner, and must state in detail the terms of the agreement between the spouses, or the positions of the parties, concerning custody, child support, visitation, spousal maintenance, and the division of property. AS 25.24.220 governs the hearing, at which the court examines the petitioner and considers whether the parties fully understand the nature and consequences of their action and whether the terms of any proposed agreements are just, fair,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Custody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 an existing custody award may be modified when a change of circumstances requires modification and modification is in the best interests of the child. Where a parent opposes modification and modification is nonetheless granted, the court must enter its reasons on the record. The statute also establishes that a finding of domestic violence occurring since the last custody determination constitutes a change of circumstances as a matter of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Under Civil Rule 90.3(a), when one parent has primary physical custody, the support obligation equals the non-custodial parent's adjusted annual income multiplied by a percentage that depends on the number of children. For two children, that percentage is 27%. Under Civil Rule 90.3(b), when parents share physical custody, a different formula applies that accounts for the percentage of time each parent has physical custody. The court retains authority to impute income to a parent who is voluntarily and unreasonably underemployed, and may vary from the formula only for good cause, upon clear and convincing evidence that a strict application would result in manifest injustice.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shall divide marital property in a just manner, based on consideration of multiple factors including the length of the marriage, the age and health of the parties, earning capacity, financial condition, the desirability of awarding the family home to the party with primary physical custody, the circumstances and necessities of each party, and the time and manner of acquisition of the property. Agreements on property division and spousal maintenance must fairly allocate the economic effect of dissolution and must take into consideration the factors listed in AS 25.24.160(a)(2) and (4). AS 25.24.200(a)(3).</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RENEE PRIMARY PHYSICAL CUSTODY OF THE CHILDREN DURING THE SCHOOL YEAR BECAUSE THAT ARRANGEMENT BEST SERVES THE CHILDREN'S INTERESTS AND REFLECTS THE REALITY OF THEIR ESTABLISHED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any child custody determination is the best interests of the children. The Alaska Supreme Court has consistently held that continuity and stability in a child's living environment are critical factors in any custody analysis. See Schmitz v. Schmitz, 88 P.3d 1116 (Alaska 2004). The court must also consider each parent's ability and desire to allow a loving, frequent relationship between the child and the other parent, as well as the practical realities of each parent's schedule and availability.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been the primary day-to-day caregiver for the children throughout the marriage, and particularly during the approximately two years of escalating conflict when Wesley's North Slope rotation kept him away from Anchorage for two-week intervals at a time. The children attend school in Anchorage, have established friendships, and are rooted in their community. Granting primary physical custody to Renee during the school year preserves that continuity. It ensures that the children have a stable, consistent home base with a parent who is present and available throughout the school week, rather than a rotating schedule that requires them to adapt to a different custodial structure every two weeks.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proposed 50/50 schedule, structured around his two-weeks-on, two-weeks-off North Slope rotation, is logistically problematic and not in the children's best interests. When Wesley is on the North Slope, he is not available to exercise physical custody at all. A 50/50 schedule nominally assigned to Wesley would therefore, in practice, require either a third-party caregiver to cover his two-week absences or repeated disruption to the children's schedule. Neither outcome serves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proposal, by contrast, is honest and workable. Wesley would have alternating-weekend visitation when he is off rotation and four weeks of summer parenting time, giving him meaningful, consistent contact with the children during periods when he is actually available to parent. The Alaska Supreme Court recognized in Faulkner v. Goldfuss, 46 P.3d 993 (Alaska 2002) that custody agreements are not binding on the court and that the court must independently determine the arrangement that best serves the child's interests. Renee's proposal reflects the children's best interests in light of the actual realities of both parents' schedules and the children's established lives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25.24.220(d)(2) requires the court to consider whether any written agreements concerning child custody and visitation are just and in the best interests of the children. AS 25.24.220(h) calls for heightened scrutiny when there is a minor child of the marriage, and the children here are both minors. Under that heightened scrutiny, the Court should carefully examine whether Wesley's proposed schedule, which is structured around his employment rotation rather than the children's needs, truly serves those children. It does not. The Court should award Renee primary physical custody during the school year, with meaningful visitation to Wesley consistent with his actual availability.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WESLEY'S ADJUSTED ANNUAL INCOME, AND HIS PROPOSED DEDUCTIONS FOR TRAVEL AND A SECOND RESIDENCE ARE NOT AUTHORIZED BY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establishes a straightforward formula for child support when one parent holds primary physical custody. The non-custodial parent's adjusted annual income is multiplied by a set percentage: for two children, that figure is 27%. Civil Rule 90.3(a)(2)(B). The Alaska Supreme Court recognized in State, Child Support Enforcement Division v. Bromley, 987 P.2d 183 (Alaska 1999) that variation from this formula is permitted only for good cause, upon clear and convincing evidence that manifest injustice would result from strict application of the rule, and that such variation must focus first and foremost on the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income as a pipeline technician is not in dispute. He earns substantially more than Renee. The Rule 90.3(a)(1) framework specifies the categories of deductions that are authorized in calculating adjusted annual income, including mandatory taxes, Social Security and Medicare contributions, mandatory union dues, mandatory retirement contributions, and certain other enumerated items. Civil Rule 90.3(a)(1). Work-related travel costs and the voluntary expense of maintaining a second personal residence near a job site are not among the authorized deductions. Wesley cannot reduce his child support obligation simply because his employment requires him to travel to the North Slope or because he has chosen to lease housing near the Slope for personal convenience.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the importance of the Rule 90.3 formula's predictability and adequacy in Ruppe v. Ruppe, 358 P.3d 1284 (Alaska 2015), noting that two primary purposes of the formula are to ensure that child support orders are adequate to meet the needs of children and to make awards predictable and consistent. Allowing Wesley to reduce his obligation based on voluntary lifestyle expenses associated with his employment would undermine both of those purposes and would shift financial burden onto Renee and, ultimately,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that Wesley's higher earning capacity is itself a relevant factor. Under Civil Rule 90.3(a)(4), the court may impute potential income to a parent who is voluntarily and unreasonably underemployed. The inverse principle is equally important: the court should not artificially deflate a high-earning parent's actual income through non-authorized deductions. If the Court applies the 27% formula to Wesley's properly calculated adjusted annual income, the result will be a fair and lawful child support award. If the parties cannot agree on the exact income figure, Renee requests that the Court require full financial disclosure and calculate adjusted annual income strictly in accordance with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instead accept Wesley's proposed 50/50 custody schedule, which Renee opposes for the reasons stated in Section IV.A above, the shared physical custody formula under Civil Rule 90.3(b) would apply. Under that formula, each parent's hypothetical obligation to the other is calculated under paragraph (a), each figure is then multiplied by the percentage of time the other parent has physical custody, and the parent with the larger resulting figure becomes the obligor parent. Civil Rule 90.3(b)(1)(A)-(C). Even under that calculation, given the significant disparity in the parties' incomes, Wesley would owe a meaningful child support obligation to Renee. The Alaska Supreme Court confirmed in Rowen v. Rowen, 963 P.2d 249 (Alaska 1998) that the Rule 90.3(b) formula is applied flexibly but that conclusory claims of unfairness do not overcome a properly structured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AWARD RENEE THE MARITAL HOME IN EXCHANGE FOR HER ASSUMPTION OF THE JOINT CREDIT CARD DEBT BECAUSE THAT ARRANGEMENT IS JUST, ALLOCATES THE ECONOMIC EFFECT OF DISSOLUTION FAIRLY, AND SERVES THE CHILDREN'S INTEREST IN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divides marital property in a just manner, taking into consideration a list of enumerated factors. Among those factors is the desirability of awarding the family home, or the right to live in it for a reasonable period of time, to the party who has primary physical custody of the children. AS 25.24.160(a)(4)(F). This factor is directly applicable here. If the Court awards primary physical custody to Renee, as Renee requests and as is in the children's best interests, then the family home should follow the children. Disrupting the children from their home, their neighborhood, and their community would compound the already significant upheaval of their parents'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property division Renee proposes is straightforward and fair. The marital home carries approximately $85,000 in equity. The joint credit card debt, incurred during the marriage, totals $22,000. Renee proposes to receive the home and to assume the entire $22,000 credit card obligation, netting her approximately $63,000 in value after subtracting the debt she would absorb. Wesley would be relieved of the $22,000 obligation entirely. The effective allocation would give Renee approximately $63,000 in net value and Wesley approximately $22,000 in debt relief, plus whatever other marital assets exist and are distributed separately. This is a reasonable and equitable arrangement given the factors in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the multi-factor property division framework in Brown v. Brown, 914 P.2d 206 (Alaska 1996), recognizing the full scope of considerations the court must weigh, including the time and manner of acquisition, the financial condition of the parties, and the income-producing capacity and value of the property at the time of division. Applying those factors here: the home was acquired during the marriage and is unquestionably marital property; Renee's financial condition is materially weaker than Wesley's given the income disparity; and Wesley's higher earning capacity means he can replace housing value over time in a way that Renee, who earns significantly less and will bear the primary cost of raising the children, cannot.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25.24.200(a)(3) requires that property division agreements be fair and just and take into consideration the factors listed in AS 25.24.160(a)(2) and (4) so that the economic effect of dissolution is fairly allocated. The Alaska Supreme Court in Sharon Thompson v. Everett Thompson, 454 P.3d 981 (Alaska 2019) affirmed that courts properly consider disparities in earning capacity when dividing property, recognizing that a party with lower earning capacity is at a structural economic disadvantage following dissolution. Renee is in precisely that position. Her proposal gives the children a stable home, gives Wesley a clean financial break from the mortgage and the credit card debt, and distributes the economic consequences of dissolution in a manner that accounts for the parties' very different financial positions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proposal of an immediate sale and equal division of proceeds would net each party approximately $31,500 in equity before transaction costs, but would force Renee and the children out of their home, expose Renee to half of the $22,000 credit card debt with less income to service it, and leave the children without a stable residential anchor during an already difficult transition. That outcome is neither just nor consistent with the AS 25.24.160(a)(4) factors, particularly subparagraph (F) regarding the desirability of awarding the home to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DISSOLUTION PETITION SATISFIES THE STATUTORY REQUIREMENTS AND THE COURT SHOULD CONDUCT THE HEARING WITH THE HEIGHTENED SCRUTINY WARRANTED BY THE PRESENCE OF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25.24.210 requires that the petition state in detail the terms of the parties' positions concerning custody, child support, visitation, and property division, as well as specified background information about the parties and children. AS 25.24.210(e). The petition filed in this matter satisfies those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hearing, AS 25.24.220(d) directs the court to consider, among other things, whether the parties fully understand the nature and consequences of their action and whether written agreements concerning child custody, support, and visitation are just and in the best interests of the children. Because the parties have minor children, AS 25.24.220(h)(3) mandates that the court apply a heightened level of scrutiny to the parties' agreements. Under that heightened scrutiny, AS 25.24.220(i) directs the court to examine the written agreements to determine that they are just, that they constitute the entire agreement between the parties, and that custody, support, and visitation arrangements are in the best interests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submits that her proposed resolution on all three contested issues satisfies that heightened standard. The custody arrangement she proposes is grounded in the children's actual day-to-day needs and their established lives in Anchorage. The child support calculation she requests follows the Civil Rule 90.3(a) formula without deviation and without unauthorized reductions. The property settlement she proposes fairly allocates the economic consequences of dissolution in light of the parties' income disparity and the children's need for residential stability.</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Renee primary physical custody of the two minor children during the school year, with Wesley receiving alternating-weekend visitation when he is off his North Slope rotation and four weeks of summer parenting time, consistent with the children's best interests under AS 25.24.220(d)(2) and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child support pursuant to Civil Rule 90.3(a) based on Wesley's adjusted annual income as properly calculated under the Rule, applying the 27% multiplier for two children, and reject Wesley's proposed deductions for travel costs and a secondary residence as not authorized by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Renee the marital home and its approximately $85,000 in equity, with Renee assuming the full $22,000 joint credit card obligation, as a just and equitable division of the marital estate consistent with AS 25.24.160(a)(4) and AS 25.24.200(a)(3);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Apply heightened scrutiny at the dissolution hearing as required by AS 25.24.220(h)(3) and (i) given the presence of minor children, and enter findings that the proposed custody, support, and property arrangements are just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respectfully submits that the relief requested herein is supported by Alaska law, consistent with the facts of this case, and in the best interests of the parties'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2026-08-16T18:13:01.796Z</dcterms:created>
  <dcterms:modified xsi:type="dcterms:W3CDTF">2026-08-16T18:13:01.796Z</dcterms:modified>
</cp:coreProperties>
</file>

<file path=docProps/custom.xml><?xml version="1.0" encoding="utf-8"?>
<Properties xmlns="http://schemas.openxmlformats.org/officeDocument/2006/custom-properties" xmlns:vt="http://schemas.openxmlformats.org/officeDocument/2006/docPropsVTypes"/>
</file>