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Alaska Superior Court, Family Division, on the petition for dissolution of marriage filed by David Bergstrom. The parties, David Bergstrom and Danielle Bergstrom, were married in Anchorage, Alaska in 2014 and are the parents of two minor children, ages six and nine. After approximately ten years of marriage, the parties have experienced an irremediable breakdown of their marriage due to irreconcilable differences arising from financial stress and sustained conflict over parenting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reached a tentative agreement on the major issues presented by this dissolution, including physical and legal custody of the minor children, child support, division of the marital home located in Eagle River, and allocation of marital debt. This brief is submitted to assist the Court in evaluating whether the proposed agreements satisfy the requirements of Alaska law and to provide a framework for the Court's analysis of the relevant statutory factors and applicable case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set forth herein, the proposed custody arrangement serves the best interests of the children, the proposed child support amount is consistent with the Alaska Civil Rules, the proposed property division fairly allocates the economic effect of this dissolution, and the proposed debt allocation is just under the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and Danielle Bergstrom were married in Anchorage, Alaska in 2014. The parties are the parents of two minor children born of the marriage, currently ages six and nine. The marriage has deteriorated over the past two years due to financial stress and prolonged conflict over parenting decisions, resulting in an irremediable breakdown of the marital relationship. David filed a petition for dissolution in the Alaska Superior Court, Family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is employed as a commercial electrician and earns approximately $82,000 per year. Danielle works part-time as a dental hygienist and earns approximately $36,000 per year. During the marriage, the parties jointly acquired a residential home located in Eagle River, Alaska. The home carries an estimated market value of approximately $295,000 and is encumbered by a remaining mortgage balance of approximately $210,000, yielding an estimated equity of approximately $85,000. The parties also accumulated approximately $28,000 in shared credit card debt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reached a tentative agreement on the following terms. Danielle would receive primary physical custody of both minor children. David would exercise parenting time on alternating weekends and one evening per week. The parties would share joint legal custody, conferring jointly on major decisions regarding the children's education, healthcare, and general well-being. David proposes to pay $1,400 per month in child support. David further proposes to retain the Eagle River home by refinancing it solely in his own name and to compensate Danielle for her share of the equity through a cash payment at closing. The parties have yet to finalize allocation of the approximately $28,000 in marital credit card debt.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 a petition for dissolution may be granted where, among other conditions, the parties establish that incompatibility of temperament has caused the irremediable breakdown of the marriage, that they have agreed on custody, support, and visitation of their minor children, and that they have agreed on a fair and just distribution of all real and personal property, spousal maintenance if any, and allocation of debts. The agreement on property division must take into consideration the factors listed in AS 25.24.908(a)(2) and (4) so that the economic effect of dissolution is fairly allocated.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dissolution hearing, the Court is required under AS 25.24.220 to examine the petitioners and consider whether: the parties fully understand the nature and consequences of their action; the written agreements on child custody, child support, and visitation are just and in the best interests of the children; the written agreements relating to property division, spousal maintenance, and allocation of obligations are just; and the written agreements constitute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Civil Rule 90.3(a) establishes the method for calculating support in cases where one parent has primary physical custody, providing that the award shall be calculated as the non-custodial parent's adjusted annual income multiplied by the applicable percentage, which is 27% for two children. Civil Rule 90.3(b) addresses cases of shared, divided, or hybrid custody and provides an alternative calculation methodology where applicable.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property division, AS 25.24.986(4) requires that the division of property be just and fairly allocate the economic effect of the dissolution based on consideration of enumerated statutory factors, including the length of the marriage, the age and health of the parties, their earning capacities, their financial conditions, the desirability of awarding the family home to the party with primary physical custody of the children,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90.1(e), in divorce cases involving property division disputes, the parties are required to file and serve a property division table not fewer than five days before trial, including a list of all assets and liabilities, their characterization as marital or separate property, their values, and each party's proposed disposition.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trial courts have broad discretion in fashioning property divisions and will not disturb such a division unless it is clearly unjust. Partridge v. Partridge, 239 P.3d 680 (Alaska 2010). Similarly, the Court has recognized that equitable division does not require mathematical equality but rather a fair allocation of the economic consequences of the dissolution. Green v. Green, 29 P.3d 854 (Alaska 2001).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CUSTODY ARRANGEMENT SERVES THE BEST INTERESTS OF THE MINOR CHILDREN AND SATISFIES THE REQUIREMENTS OF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25.24.905(2), the Court must determine whether the written agreements between the spouses concerning child custody, child support, and visitation are just as between the spouses and in the best interests of the children of the marriage. The proposed arrangement designates Danielle as the primary physical custodian of both minor children, with David exercising parenting time every other weekend and one evening per week, and the parties sharing joint legal custody with joint decision-making authority over education, healthcare, and general well-being. This arrangement is consistent with the children's best interests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consider a range of factors when evaluating custody arrangements. AS 25.20.090 identifies the relevant considerations for shared custody determinations, including the needs of the child, the stability of the home environment likely to be offered by each parent, the education of the child, the advantages of keeping the child in the community where the child presently resides, the optimal time for the child to spend with each parent,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arrangement addresses these concerns appropriately. Danielle, as primary physical custodian, will provide a stable and continuous home environment for the children in the Eagle River community where they currently reside. David's regular parenting time on alternating weekends and one evening per week maintains a meaningful and ongoing relationship between the children and their father. The joint legal custody provision ensures that both parents remain actively involved in the most significant decisions affecting their children's lives, including those concerning education and healthcare. This structure reflects a genuine commitment on the part of both parties to cooperative co-parenting and serves the developmental needs of children ages six and nine.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the importance of stability and continuity in custody arrangements, as well as the value of maintaining children in familiar community settings. Schmitz v. Schmitz, 88 P.3d 1116 (Alaska 2004). The proposed plan reflects these principles by keeping both children in their current community and school environment while providing regular, predictable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CHILD SUPPORT AMOUNT OF $1,400 PER MONTH IS CONSISTENT WITH THE ALASKA CIVIL RULES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the calculation of child support in cases involving primary physical custody. Under that rule, the child support award is calculated as an amount equal to the adjusted annual income of the non-custodial parent multiplied by the applicable percentage. For two children, that percentage is 27%.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earns approximately $82,000 per year as a commercial electrician. Under Civil Rule 90.3(a)(1), adjusted annual income is calculated by subtracting from total income mandatory deductions such as federal, state, and local income taxes, Social Security tax, Medicare tax, and other qualifying deductions. A reasonable estimate of David's mandatory deductions, including federal income tax, Social Security tax at 6.2%, and Medicare tax at 1.45%, would reduce his gross income to an adjusted annual income in the approximate range of $62,000 to $66,000, depending on his specific filing status and applicable deductions. Applying the 27% multiplier for two children to an adjusted annual income of approximately $62,400 yields an annual child support obligation of approximately $16,848, or roughly $1,404 per month. The parties' proposed monthly support figure of $1,400 is therefore consistent with the guidelines calculation under Civil Rule 90.3(a)(2)(B)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income of approximately $36,000 per year as a part-time dental hygienist does not reduce David's obligation under the primary custody formula, but it is a relevant consideration in confirming that the proposed support amount appropriately accounts for each parent's financial capacity to contribute to the children's needs. The Alaska Supreme Court has recognized that child support awards must be grounded in a realistic assessment of each parent's financial circumstances. Barnett v. Barnett, 238 P.3d 594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any question arises regarding whether David may be voluntarily underemployed or whether Danielle's part-time employment warrants imputation of additional income, Civil Rule 90.3(a)(4) permits the court to calculate support based on potential income of a parent who voluntarily and unreasonably is unemployed or underemployed. There is no indication in this case that either parent's income reflects anything other than their actual employment circumstances, and no imputation of income appears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DIVISION OF THE MARITAL HOME FAIRLY ALLOCATES THE ECONOMIC EFFECT OF THIS DISSOLUTION UNDER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acquired the Eagle River home jointly during the marriage. It represents the most significant marital asset subject to division. David proposes to retain the home by refinancing it solely in his name and to compensate Danielle for her proportionate share of the equity through a cash payment at closing. With an estimated market value of $295,000 and a remaining mortgage balance of approximately $210,000, the estimated equity is approximately $85,000. A cash payment to Danielle representing her equal share, approximately $42,500, would provide each party with an equal division of the marital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that the division of property fairly allocate the economic effect of divorce and directs the court to consider, among other factors: the length of the marriage and the station in life of the parties during the marriage; the age and health of the parties; their earning capacities; their financial conditions; the desirability of awarding the family home or the right to live in it for a reasonable period to the party who has primary physical custody of the children;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these factors to the present case supports approval of the proposed arrangement. First, the parties were married for approximately ten years, a moderate-length marriage that supports an approximately equal division of marital assets. Second, David's earning capacity as a commercial electrician at $82,000 per year is substantially greater than Danielle's current part-time income of $36,000 per year, which is relevant to his ability to refinance the home on his own and to make a cash equity payment to Danielle at closing. Third, Danielle will be the primary physical custodian of both minor children. Under AS 25.24.160(a)(4)(F), the court is directed to consider the desirability of awarding the family home to the party with primary physical custody. Although this factor would ordinarily suggest awarding the home to Danielle, the parties have reached a mutual agreement that David will retain the home and compensate Danielle with a cash payment. Provided the cash payment is fair and sufficient to allow Danielle to secure alternative housing appropriate for herself and the children, this deviation from the default preference is permissible. Fourth, both parties acquired the home jointly during the marriage, and no claim of separate property in the residence has been asserted.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upheld property divisions that employ cash equalization payments as a mechanism to balance the allocation of a major asset retained by one spouse, provided the overall division is just and the economic consequences are fairly allocated. Beal v. Beal, 209 P.3d 1012 (Alaska 2009); Green v. Green, 29 P.3d 854 (Alaska 2001). The proposed arrangement accomplishes this objective here, so long as the cash payment to Danielle is sufficient to represent her actual equity share and is tendered at or before the closing of the refinancing.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further ensure, consistent with Sandberg v. Sandberg, 322 P.3d 879 (Alaska 2014), that the home is properly and independently valued before the cash equalization payment is fixed. The estimated market value of $295,000 appears to be an informal estimate. The Court should require confirmation of the home's market value, ideally through an independent appraisal, to ensure that Danielle's equity payment is grounded in an accurate figure and not a speculative or understated valuation.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ALLOCATION OF MARITAL CREDIT CARD DEBT MUST FAIRLY DISTRIBUTE THE ECONOMIC BURDEN OF OBLIGATIONS INCURRED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accumulated approximately $28,000 in shared credit card debt during the marriage. Under AS 25.24.200(a)(4), the spouses must agree as to the payment of all unpaid obligations incurred by either or both of them as a condition of obtaining a dissolution decree. The proposed agreement must address this debt with specificity.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that the division of property, which encompasses the allocation of liabilities as well as assets, fairly allocate the economic effect of the dissolution. In evaluating a just allocation of the marital debt, the Court should consider each party's earning capacity, financial condition, and ability to service the debt obligations. David's gross annual income of $82,000 is substantially greater than Danielle's $36,000 annual income. Equalizing the parties' overall economic positions at dissolution favors assigning a proportionately greater share of the marital debt to David, particularly if David is retaining the home and its associated benefits.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One approach that is fair under the circumstances would be to divide the $28,000 in credit card debt equally, with each party assuming $14,000, and to treat each party's assumption of debt as an offset against their respective shares of the marital estate. Alternatively, if the parties agree that David will assume the entire debt balance, that assumption could be treated as an additional offset reducing the cash equity payment owed to Danielle at closing. Any allocation must be reflected clearly in the written dissolution agreement to ensure compliance with AS 25.24.200(a)(4) and to provide the Court a sufficient basis for its review under AS 25.24.220(d)(3).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trial courts must address debt allocation explicitly and that inequitable assignments of marital debt may render a property division clearly unjust. Partridge v. Partridge, 239 P.3d 680 (Alaska 2010). The parties should be prepared to present a clear and final agreed allocation of the credit card debt at the dissolution hearing.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APPLY HEIGHTENED SCRUTINY AS APPROPRIATE AND CONFIRM THAT THE PARTIES FULLY UNDERSTAND THE NATURE AND CONSEQUENCES OF THEIR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25.24.220(d), the Court is required to examine the petitioners and consider whether the parties fully understand the nature and consequences of their action and whether the written agreements constitute the entire agreement between the parties. Under AS 25.24.220(h), the Court must apply heightened scrutiny if one party is unrepresented, if there is a minor child of the marriage, or if the division of the marital estate is patently inequitable.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this dissolution involves two minor children, the Court is required by AS 25.24.220(h)(3) to apply a heightened level of scrutiny to the parties' agreements. That scrutiny requires the Court to confirm that the agreements are just, that they constitute the entire agreement, and that the custody, support, and visitation provisions are in the best interests of the children. AS 25.24.220(i).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respectfully submits that the proposed agreements, as presented in this brief, satisfy this standard. The custody arrangement promotes the children's stability and maintains meaningful contact with both parents. The support amount is consistent with Civil Rule 90.3(a). The property division provides for an equitable split of marital equity through a cash payment mechanism, and the debt allocation, once finalized, should be expressly reflected in the written agreement. The parties should be prepared at the dissolution hearing to confirm on the record their full understanding of each term and their voluntary consent to the agreement in its entirety, consistent with the requirements of AS 25.24.200(c).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the proposed dissolution agreement between David Bergstrom and Danielle Bergstrom satisfies the requirements of Alaska law governing dissolution proceedings, child custody, child support, and property division. The proposed primary physical custody arrangement with Danielle and regular parenting time for David serves the best interests of the minor children and reflects the statutory factors set forth in AS 25.20.090. The proposed child support amount of $1,400 per month is consistent with Civil Rule 90.3(a)(2)(B) as applied to David's adjusted annual income. The proposed cash equalization payment to compensate Danielle for her equity in the marital home represents a just division of marital property under AS 25.24.160(a)(4), provided the home's value is confirmed by an independent appraisal. The parties must finalize and expressly state the allocation of the $28,000 in marital credit card debt in the written dissolution agreement to satisfy AS 25.24.200(a)(4).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requests that the Court approve the dissolution petition and enter a final decree of dissolution incorporating the terms of the parties' agreement as refined and confirmed at the hearing.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2026-08-16T18:14:41.740Z</dcterms:created>
  <dcterms:modified xsi:type="dcterms:W3CDTF">2026-08-16T18:14:41.740Z</dcterms:modified>
</cp:coreProperties>
</file>

<file path=docProps/custom.xml><?xml version="1.0" encoding="utf-8"?>
<Properties xmlns="http://schemas.openxmlformats.org/officeDocument/2006/custom-properties" xmlns:vt="http://schemas.openxmlformats.org/officeDocument/2006/docPropsVTypes"/>
</file>