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("Petitioner") respectfully submits this brief in support of the parties' petition for dissolution of marriage filed pursuant to AS 25.24.200. Marcus and Jennifer Petrova ("Respondent") have been married since June 14, 2014, and are the parents of two minor children. After approximately two years of marital deterioration marked by chronic communication breakdown, financial stress, and irreconcilable differences in parenting philosophy, the parties have reached a tentative agreement addressing all material issues required under Alaska law, including child custody, child support, and the division of marital property and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agreement reflects the parties' good-faith effort to reach a resolution that serves the best interests of their children, equitably distributes the marital estate, and fairly allocates the economic effect of dissolution. The parties submit this brief to assist the Court in evaluating whether the conditions of AS 25.24.200 have been satisfied and whether the proposed terms meet the statutory standards for a final decree of dissolution under AS 25.24.230.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Petrova, age 38, and Jennifer Petrova, age 35, were married on June 14, 2014, in Anchorage, Alaska. The marriage produced two minor children: a daughter, age 8, and a son, age 6. Both children currently reside in the family home located in Eagle River,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approximately the past two years, the marriage suffered an irremediable breakdown caused by chronic communication difficulties, financial pressures arising from Marcus's reduced work hours in the oil and gas sector, and persistent disagreements concerning parenting decisions. These combined circumstances rendered the marriage irretrievably broken due to incompatibility of temperament, satisfying the threshold condition set forth in AS 25.24.987(1).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settlement agreement addressing all issues required for dissolution. With respect to the minor children, the parties have agreed to joint legal custody of both children, with Jennifer serving as the primary physical custodian during the school week at the Eagle River family home. Marcus will exercise parenting time every other weekend and one weeknight per week. Marcus agrees to pay $1,200 per month in child support, a figure the parties represent is consistent with the guidelines established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and liabilities: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 in Eagle River, valued at approximately $385,000, with a remaining mortgage balance of approximately $210,000, reflecting a net equity of approximately $175,000.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Two vehicles, including a truck retained by Marcus and a vehicle retained by Jennifer.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 joint savings account holding approximately $18,000.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Approximately $24,000 in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the proposed property division, Jennifer will retain the family home and assume sole responsibility for the outstanding mortgage. Marcus will retain his truck and will receive a negotiated portion of the joint savings account designed to offset his share of the home equity, thereby achieving a roughly equitable distribution of the net marital estate. The parties have also allocated responsibility for the shared credit card debt as part of the overall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filed the dissolution petition with the Superior Court for the Third Judicial District. The parties submit that the proposed agreement satisfies all substantive requirements of Alaska law governing dissolution and respectfully request that the Court approve the agreement and enter a final decree of dissolution.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Governing Dissolution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25.24.200(a), a husband and wife may jointly petition for dissolution of their marriage if, at the time of filing: (1) incompatibility of temperament has caused the irremediable breakdown of the marriage; (2) if there are unmarried children of the marriage under age 19, the spouses have agreed on custody, visitation, and child support; (3) the spouses have agreed as to the distribution of all real and personal property and spousal maintenance, with the agreement being fair and just and taking into consideration the factors listed in AS 25.24.160(a)(2) and (4); and (4) the spouses have agreed as to the payment of all unpaid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Standards for Entry of Decree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25.24.230(a), the Court may grant a final decree of dissolution upon finding that: the spouses fully understand the nature and consequences of their action; the written agreements on property division and obligations are fair and just and constitute the entire agreement; the property division fairly allocates the economic effect of dissolution and takes into consideration the factors listed in AS 25.24.160(a)(2) and (4); each spouse entered into the agreement voluntarily and free from coercion; and the conditions of AS 25.24.200(a) have been met.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have a minor child of the marriage, AS 25.24.905(3) requires the Court to apply a heightened level of scrutiny when examining the written agreements. Under AS 25.24.220(i), where heightened scrutiny applies, the Court shall examine the agreements to determine that they are just, that they constitute the entire agreement between the parties, and that the child custody, support, and visitation agreements are in the best interest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25.24.949, where the petition is subject to AS 25.24.220(h), the Court may grant a final decree upon finding, among other requirements, that the written agreements on child custody, child support, and visitation are in the best interest of the children of the marriage, are just as between the spouses, and constitute the entire agreement of the parties on those subjects.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child support awards in cases of primary physical custody. Under that rule, the child support award is calculated as the non-custodial parent's adjusted annual income multiplied by a specified percentage, which is 27% for two children under Civil Rule 90.3(a)(2)(B). "Adjusted annual income" as used in this rule means "the parent's total income from all sources minus under all circumstances" certain enumerated deductions.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Property Division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directs the Court to divide property in a just manner, based on consideration of factors including: the length of the marriage; the age and health of the parties; the earning capacity of the parties; the financial condition of the parties; the desirability of awarding the family home to the party with primary physical custody;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property division need not be precisely equal to be lawful; rather, the division must fairly allocate the economic effect of dissolution based on the totality of relevant statutory factors. Brown v. Brown, 914 P.2d 206 (Alaska 1996). Courts retain broad discretion in fashioning a just division, and agreements reached by the parties are entitled to careful consideration, though the Court must independently satisfy itself that the terms are just. Richard v. Boggs, 162 P.3d 629 (Alaska 2007). The valuation of marital property, including the family home, is properly assessed at the time of the relevant proceedings. Beals v. Beals, 303 P.3d 453 (Alaska 2013).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PARTIES HAVE SATISFIED THE THRESHOLD CONDITIONS FOR DISSOLUTION UNDER AS 25.24.200(a)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satisfy all threshold conditions for a joint petition for dissolution under AS 25.24.200(a). First, incompatibility of temperament, manifested through two years of chronic communication breakdown, financial strain, and irreconcilable parenting differences, has caused the irremediable breakdown of the marriage. This satisfies the foundational requirement of AS 25.24.200(a)(1).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parties have reached a written agreement addressing custody, visitation, and child support for both minor children, satisfying AS 25.24.200(a)(2). The agreement provides for joint legal custody, primary physical placement with Jennifer during the school week, and a defined parenting time schedule for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parties have agreed as to the distribution of all real and personal property, including the family home, vehicles, savings account, and credit card debt, satisfying AS 25.24.200(a)(3). The agreement takes into consideration the factors listed in AS 25.24.160(a)(2) and (4) and is designed to fairly allocate the economic effect of dissolution, as required by AS 25.24.200(e).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parties have agreed as to the allocation of all unpaid obligations, including the mortgage and shared credit card debt, satisfying AS 25.24.200(a)(4).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CHILD SUPPORT AMOUNT IS CONSISTENT WITH CIVIL RULE 90.3(a) AND SHOULD BE APPROVED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agreed that Marcus will pay $1,200 per month in child support. Because Jennifer has primary physical custody of both children, Civil Rule 90.3(a) governs the calculation of the support obligation. Under Civil Rule 90.3(a)(2)(B), the applicable percentage for two children is 27% of the non-custodial parent's adjusted annual income. The agreed monthly support figure of $1,200, representing $14,400 annually, is consistent with this guideline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child support calculations under Civil Rule 90.3 must be grounded in an accurate determination of the non-custodial parent's adjusted annual income, taking into account all permissible deductions. Sharon Thompson v. Everett Thompson, 454 P.3d 981 (Alaska 2019). Marcus's reduced work hours in the oil and gas sector have affected his income, and the agreed support amount reflects the parties' good-faith effort to apply the Rule 90.3(a) framework to the financial realities of this family. If the Court finds it necessary to independently verify the support calculation, Marcus is prepared to provide a completed Rule 90.3 child support schedule and supporting income documentation.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may also consider whether a parent is voluntarily underemployed under Civil Rule 90.3(a)(4). Marcus's reduced hours stem from conditions in the oil and gas sector rather than a voluntary personal choice to reduce earnings, and therefore imputation of higher potential income is not appropriate in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have agreed on primary physical custody with Jennifer, Civil Rule 90.3(b), which governs shared, divided, or hybrid custody arrangements, does not apply to the base child support calculation here. However, the parties' agreement also provides Marcus with parenting time every other weekend and one weeknight per week. This parenting schedule does not rise to the level of shared physical custody under Civil Rule 90.3(b), so the primary custody formula under Civil Rule 90.3(a) correctly governs.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PROPOSED PROPERTY DIVISION FAIRLY ALLOCATES THE ECONOMIC EFFECT OF DISSOLUTION AND SATISFIES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property division is designed to fairly allocate the economic effect of dissolution in accordance with AS 25.24.160(a)(4) and the factors identified therein. The marital estate, reduced to its net value, consists primarily of the family home equity of approximately $175,000, two vehicles, approximately $18,000 in savings, and approximately $24,000 in shared debt. The parties' total net marital estate is therefore approximately $169,000 after subtracting the credit card debt from other liquid and real property assets.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the proposed agreement, Jennifer retains the family home and assumes sole responsibility for the existing mortgage. This allocation serves the factor set forth in AS 25.24.160(a)(4)(F), which calls for consideration of "the desirability of awarding the family home, or the right to live in it for a reasonable period of time, to the party who has primary physical custody of children." Jennifer is the primary physical custodian of both minor children during the school week, and continuity of the children's residence in the Eagle River home promotes their stability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offset Marcus's equity share in the home, Marcus will receive his truck and a negotiated portion of the joint savings account. This approach is consistent with the principle that courts should fashion a just division based on the totality of the statutory factors rather than demanding mathematical equality. Brown v. Brown, 914 P.2d 206 (Alaska 1996). The Alaska Supreme Court has recognized that parties may reach agreements that depart from a strict 50/50 split of the marital estate when they provide a reasonable explanation for the allocation and the overall result is just. Richard v. Boggs, 162 P.3d 629 (Alaska 2007).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assessing the fairness of the division, the Court should also consider the following factors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Length and station of the marriage. The parties were married for approximately ten years. This is a mid-length marriage in which both parties contributed to the acquisition of marital assets, including the family home purchased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Age and health of the parties. Marcus is 38 and Jennifer is 35. Both are relatively young and do not present health factors that would significantly skew the equitable division in either direction.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Earning capacity. Marcus has historically worked in the oil and gas sector, an industry subject to cyclical employment volatility. His reduced hours have constrained his near-term income. Jennifer's earning capacity must also be considered in the context of her primary custodial responsibilities for the two minor children. The Alaska Supreme Court has acknowledged that disparities in earning capacity between spouses are a legitimate consideration in property division. Sharon Thompson v. Everett Thompson, 454 P.3d 981 (Alaska 2019).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Financial condition of the parties. Jennifer will bear the ongoing cost of the mortgage on the family home, reducing her available financial resources. Marcus will not carry mortgage debt following dissolution. The allocation of the savings account portion to Marcus is intended to provide him with capital to establish a separate household and address near-term financial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Circumstances and necessities of each party. Jennifer's primary custodial role requires stable housing for the children. Marcus requires sufficient resources to secure alternative housing and resume financial stability following job market challenges in his sector.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Time and manner of acquisition. The family home was acquired during the marriage and constitutes marital property subject to equitable division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Income-producing capacity and value at time of division. The home is valued at approximately $385,000 at the time of the dissolution proceeding. Beals v. Beals, 303 P.3d 453 (Alaska 2013), confirms that the time of the relevant proceeding is the appropriate valuation date.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allocation of the $24,000 in shared credit card debt must also be addressed as part of the overall settlement. The parties have agreed on responsibility for these obligations as part of the comprehensive dissolution agreement, consistent with AS 25.24.200(a)(4). The Court should confirm that the debt allocation, when considered alongside the asset division, results in a distribution that fairly allocates the economic effect of dissolution across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HEIGHTENED SCRUTINY STANDARD UNDER AS 25.24.220(h) IS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parties have minor children, the Court is required by AS 25.24.220(h)(3) to apply a heightened level of scrutiny to the written agreements. Under AS 25.24.220(i), the Court must examine whether the agreements are just, constitute the entire agreement between the parties, and whether the child-related terms are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submit that the proposed agreement satisfies this standard. The child custody arrangement provides both parents with meaningful involvement in the lives of the children. Jennifer's role as primary physical custodian during the school week provides the children with residential stability and continuity of schooling. Marcus's parenting schedule, consisting of alternating weekends and one weeknight per week, ensures that the children maintain a regular and predictable relationship with their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reflects the parties' shared commitment to cooperative parenting and their recognition that both parents should participate in major decisions affecting the children's education, health care, and general welfare. The Alaska Supreme Court has recognized that arrangements preserving both parents' involvement in a child's life, when agreed to voluntarily and in good faith, warrant approval. Barnett v. Barnett, 238 P.3d 594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obligation of $1,200 per month ensures that Marcus continues to contribute materially to the children's nurture and education, consistent with AS 25.24.160(a)(1). The agreed amount is grounded in the Civil Rule 90.3(a) framework and reflects the financial realities of Marcus's current employment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PETITION AND AGREEMENT COMPLY WITH THE PROCEDURAL REQUIREMENTS OF AS 25.24.210 AND AS 25.24.250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25.24.210 prescribes the formal requirements for a dissolution petition. The petition filed in this matter states the conditions enumerated under AS 25.24.200(a), sets forth the agreement of the parties concerning child custody, child support, visitation, property division, and debt allocation, and is verified by the petitioning spouse consistent with AS 25.24.210(b). The petition states in detail the terms of the parties' agreement as required by AS 25.24.210(e), including the respective occupations, incomes, assets, and liabilities of the parties; the date and place of the marriage; the names, dates of birth, and custodial status of each minor child; and confirmation that the petition constitutes the entire agreement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made use of court-approved forms as contemplated by AS 25.24.250, which directs the Department of Law, in cooperation with the Alaska Court System, to prepare forms and instructions for persons seeking dissolution. Compliance with these procedural requirements reinforces the validity of the petition and the agreement embodied therein.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AGREEMENT WAS ENTERED INTO VOLUNTARILY AND FREE FROM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25.24.230(a)(4) requires that each spouse entered into the agreement voluntarily and free from the coercion of another person. Both Marcus and Jennifer have had the opportunity to review the terms of the dissolution agreement and understand the nature and consequences of their action. The agreement was the product of negotiation between the parties in the context of their mutual desire to resolve the dissolution cooperatively and in the best interests of their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conducting its examination under AS 25.24.220(d), should satisfy itself through testimony of the spouse or spouses present that the agreement was reached voluntarily. The parties are prepared to so testify at the hearing. Sandberg v. Sandberg, 322 P.3d 879 (Alaska 2014), illustrates the importance of the Court's examination of the parties at the dissolution hearing, particularly where one party proceeds without counsel, and the parties are aware of the Court's obligation to conduct a careful inquiry. Both parties in this matter understand that their written agreement, once approved, will constitute the entire agreement between them and will be incorporated into the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Petrova respectfully requests that the Court find the conditions of AS 25.24.200(a) satisfied, approve the parties' written agreement regarding child custody, child support, visitation, property division, and debt allocation, and enter a final decree of dissolution of marriage pursuant to AS 25.24.230. The proposed agreement fairly allocates the economic effect of dissolution, serves the best interests of the minor children, and was reached voluntarily by both parties. The Court's approval of the agreement will provide both parents and their children with the stability and certainty they require to move forward.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2026-08-16T18:17:48.018Z</dcterms:created>
  <dcterms:modified xsi:type="dcterms:W3CDTF">2026-08-16T18:17:48.018Z</dcterms:modified>
</cp:coreProperties>
</file>

<file path=docProps/custom.xml><?xml version="1.0" encoding="utf-8"?>
<Properties xmlns="http://schemas.openxmlformats.org/officeDocument/2006/custom-properties" xmlns:vt="http://schemas.openxmlformats.org/officeDocument/2006/docPropsVTypes"/>
</file>