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("Petitioner") respectfully submits this brief in support of her requests for child custody, child support, and equitable division of the marital estate following the irretrievable breakdown of her marriage to Danielle Okafor ("Respondent"). The parties were married in Anchorage, Alaska in 2015 and have two minor children, ages six and nine. After years of irreconcilable conflict over finances and parenting priorities, the marriage broke down irreparably in early 2023. The parties have been unable to resolve through informal negotiation the issues of parenting time, child support, or the division of their marital assets and liabilities. Petitioner now asks this Court to enter orders establishing joint legal custody with primary physical custody in Petitioner, calculating Respondent's child support obligation under Civil Rule 90.3, awarding Respondent's proportional contribution to the children's medical and extracurricular expenses, and equitably dividing the marital estate in accordance with AS 25.24.160.</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and Danielle Okafor were married on or about 2015 in Anchorage, Alaska. The parties have two minor children born of the marriage: one child currently age nine and one child currently age six. Throughout the marriage, the parties resided together in Eagle River, Alaska and jointly managed their household finances and parenting responsibilities.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Beginning in early 2023, the marriage suffered an irretrievable breakdown caused by prolonged and irreconcilable conflict over finances and fundamentally divergent parenting priorities. The parties have been unable to reconcile their differences. Petitioner now seeks dissolution of the marriage and appropriate orders governing the welfare of the minor children and the disposition of marital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Ashley Okafor is the primary caregiver for the two children and proposes a parenting arrangement under which the children reside with her during the school week. She proposes that Respondent Danielle Okafor have parenting time every other weekend and one evening per week, with holidays alternating annually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 Danielle Okafor is employed as a licensed electrician with a reported annual income of approximately $72,000. The parties' marital estate includes the following: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family home located in Eagle River, Alaska, purchased in 2017. The home carries a mortgage balance of approximately $210,000 against an estimated fair market value of $310,000, representing an estimated equity of approximately $100,000.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Two motor vehicles, the specific values and encumbrances of which the parties have not agreed upon.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 joint savings account holding approximately $18,000.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Shared credit card debt of approximately $9,500.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been unable to resolve any of these financial issues through informal negotiation, and they submit these matters to the Court for equitable resolution.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 in a divorce action the Court may provide for the payment of child support, the award of spousal maintenance, and the division of marital property between the parties. The statute directs that a division of property must fairly allocate the economic effect of divorce based on consideration of enumerated statutory factors, including the length of the marriage, the age and health of the parties, the earning capacity of each party, the financial condition of the parties, and the desirability of awarding the family home to the party who has primary physical custody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 which establishes a formula for calculating support based on the non-custodial parent's adjusted annual income. Civil Rule 90.3(a) provides that a child support award in a case in which one parent has primary physical custody shall equal the non-custodial parent's adjusted annual income multiplied by a specified percentage: twenty percent for one child, twenty-seven percent for two children, and thirty-three percent for three children. Where parents share physical custody, Civil Rule 90.3(b) applies an alternate calculation methodology.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the Rule 90.3 formula exists to ensure consistency and adequacy in child support awards, and that agreements deviating from the formula warrant careful judicial scrutiny. Ruppe v. Ruppe, 358 P.3d 1284 (Alaska 2015). In Sharon Thompson v. Everett Thompson, 454 P.3d 981 (Alaska 2019), the Court affirmed a trial court's income determination for child support purposes based on a parent's work history, educational background, and current employment status. The Court has further held that child support must be calculated under Civil Rule 90.3 and that any deviation from the formula must be grounded in the specific circumstances of the case. Laughlin v. Laughlin, 229 P.3d 1002 (Alaska 2010); Faulkner v. Goldfuss, 46 P.3d 993 (Alaska 2002).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property division, AS 25.24.160(a)(4) directs the Court to divide property acquired during the marriage in a just manner without regard to fault, and authorizes the Court to invade premarital property when the equities so require. The Alaska Supreme Court has recognized that the Court must carefully scrutinize proposed property divisions to ensure they fairly allocate the economic consequences of the divorce. Sandberg v. Sandberg, 322 P.3d 879 (Alaska 2014).</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SHOULD AWARD JOINT LEGAL CUSTODY WITH PRIMARY PHYSICAL CUSTODY IN PETITIONER, CONSISTENT WITH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of the two minor children support the custody arrangement proposed by Petitioner. Ashley Okafor has served as the primary caregiver throughout the children's lives and is best positioned to maintain the stability and continuity of care that children of ages six and nine require. Petitioner proposes that Respondent enjoy parenting time every other weekend and one evening per week, which provides meaningful and regular contact with both parents while centering the children's school-week routine in Petitioner's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25.24.160(a)(1), the Court may provide for child support contributions as may be just and proper for the parties to contribute toward the nurture and education of their children. The proposed custody schedule awards primary physical custody to Petitioner while preserving Respondent's parenting relationship with the children. The proposed holiday alternation arrangement further supports the children's ongoing relationship with both parents throughout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custody agreements, including those presented by the parties, do not bind the Court, which must independently determine what arrangement best serves the children's interests. Faulkner v. Goldfuss, 46 P.3d 993 (Alaska 2002). Here, Petitioner's proposed arrangement is firmly grounded in the children's demonstrated needs and the existing parental roles within the household.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CALCULATE DANIELLE OKAFOR'S CHILD SUPPORT OBLIGATION UNDER CIVIL RULE 90.3(a) BASED ON HER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Petitioner proposes primary physical custody in her favor, Respondent's child support obligation is properly calculated under Civil Rule 90.3(a). Civil Rule 90.3(a) directs that the award equal the non-custodial parent's adjusted annual income multiplied by the applicable percentage, which is "27% (.27) for two children." Respondent Danielle Okafor reports gross annual income of approximately $72,000 as a licensed electrician. Her adjusted annual income for purposes of Rule 90.3 is her total income from all sources minus the mandatory and permissible deductions enumerated in Civil Rule 90.3(a)(1), including federal income tax, Social Security tax, Medicare tax, mandatory retirement contributions, and any qualifying health insurance premiums.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the twenty-seven percent figure for two children to Respondent's adjusted annual income, Petitioner requests that the Court determine the precise adjusted annual income figure based on financial disclosures provided by Respondent and enter a child support order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Sharon Thompson v. Everett Thompson, 454 P.3d 981 (Alaska 2019), the Alaska Supreme Court affirmed that a court's income determination for Rule 90.3 purposes based on the parent's work history, credentials, and current employment is appropriate. Respondent's status as a licensed electrician with a stable reported income of approximately $72,000 provides a clear factual basis for the Court's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Respondent's income suggests financial capacity, the Court is also authorized under Civil Rule 90.3(a)(4) to consider whether a parent is voluntarily and unreasonably unemployed or underemployed, and may impute potential income if the facts support such a finding. No such finding is requested at this time, as Respondent appears to be employed consistent with her qualifications. However, Petitioner reserves the right to request imputation should circumstances change.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held in Laughlin v. Laughlin, 229 P.3d 1002 (Alaska 2010) that child support must be computed in accordance with Rule 90.3, and in Faulkner v. Goldfuss, 46 P.3d 993 (Alaska 2002) that deviations from the formula require careful justification. No deviation is sought here. Petitioner simply requests that the Court apply the formula as written and order Respondent to pay the resulting amount in monthly installments.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further requests that the Court order Respondent to contribute to the children's documented medical and extracurricular expenses on a pro-rata basis, consistent with the parties' respective adjusted annual incomes as determined by the Court. AS 25.24.160(a)(1) provides authority for the Court to require contributions toward the nurture and education of the children as may be just and proper.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EQUITABLY DIVIDE THE MARITAL ESTATE IN ACCORDANCE WITH AS 25.24.160(a)(4), AWARDING THE FAMILY HOME TO PETITIONER AS PRIMARY 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25.24.160(a)(4), the Court shall divide property acquired during the marriage in a just manner, giving consideration to all relevant statutory factors. Those factors include: the length of the marriage and station in life of the parties; the age and health of the parties; the earning capacity of the parties; the financial condition of the parties, including the availability and cost of health insurance; the conduct of the parties, including any unreasonable depletion of marital assets; the desirability of awarding the family home to the party with primary physical custody of the children; the circumstances and necessities of each party; the time and manner of acquisition of the property; and the income-producing capacity and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Family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family home in Eagle River was purchased in 2017, during the marriage. It carries an estimated fair market value of $310,000 against a mortgage balance of approximately $210,000, yielding an equity interest of approximately $100,000. AS 25.24.160(a)(4)(F) specifically identifies as a relevant factor "the desirability of awarding the family home, or the right to live in it for a reasonable period of time, to the party who has primary physical custody of children." Because Petitioner is the primary physical custodian of the parties' two school-age children, this factor weighs strongly in favor of awarding the family home to Petitioner, subject to an equalization payment or credit to Respondent for her share of the equity as the Court deems just.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affirmed in Sandberg v. Sandberg, 322 P.3d 879 (Alaska 2014) that property division must be grounded in a fair and thorough analysis of the marital estate, and that courts must scrutinize agreements and proposed divisions to ensure they fairly allocate the economic consequences of divorce. Petitioner does not seek to deprive Respondent of her equitable share in the home but asks the Court to recognize the primacy of the children's interest in stability when allocating the home to the primary 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Vehicles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own two vehicles acquired during the marriage. Petitioner requests that the Court assign each vehicle to the party currently in possession or best situated by need, and offset any difference in value against the parties' other equitable adjustments. The Court should apply the statutory factors under AS 25.24.160(a)(4), including the circumstances and necessities of each party and the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Joint Savings Account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hold a joint savings account with approximately $18,000. Petitioner proposes that these funds be divided equally between the parties, subject to any equitable adjustments the Court deems appropriate upon consideration of the factors in AS 25.24.160(a)(4). An equal division of liquid marital assets is consistent with the general presumption of equitable distribution and would allow both parties to address immediate post-dissolution financial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Shared Credit Card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carry shared credit card debt of approximately $9,500. Under AS 25.24.160(a)(4), the Court may allocate marital liabilities as part of a just division of the marital estate. Petitioner requests that the Court divide this debt equally between the parties, or in such proportion as the Court determines is just after consideration of each party's financial condition and earning capacity. Petitioner specifically requests that the Court include indemnification provisions in any order to protect each party from liability for the other's assigned share of the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PROPOSED PROPERTY DIVISION FAIRLY ALLOCATES THE ECONOMIC EFFECT OF THE DIVORCE CONSISTENT WITH AS 25.24.160.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directs that the division of property must fairly allocate the economic effect of divorce based on consideration of the enumerated factors. Here, the parties were married for approximately eight years, a period of moderate length during which they jointly acquired the family home, vehicles, savings, and marital debt. Petitioner has served as primary caregiver for two young children, which has affected her professional opportunities and earning trajectory. Respondent has maintained steady employment as a licensed electrician with a reported annual income of approximately $72,000, reflecting a stronger current earning capacity than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These facts, considered alongside the statutory factors including earning capacity, financial condition, length of the marriage, and the necessities of each party, support the division Petitioner proposes. The family home should be awarded to Petitioner, as primary custodial parent of two school-age children, with appropriate credit to Respondent. Liquid assets should be equitably divided. Marital debt should be allocated proportionally or equally, with appropriate protections for each party.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Sharon Thompson v. Everett Thompson, 454 P.3d 981 (Alaska 2019), the Alaska Supreme Court affirmed a trial court's property division that accounted for differences in the parties' earning capacity and the value of separate versus marital contributions. Gorton v. Mann, 281 P.3d 81 (Alaska 2012) similarly illustrates the Court's approach of applying the Rule 90.3 framework and related financial analysis to ensure that custody and support orders, taken together with the property division, produce an economically fair outcome for both parties and, most importantly, for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respectfully submits that the overall division she proposes is just, grounded in the statutory factors, consistent with Alaska Supreme Court precedent, and carefully tailored to protect the well-being of the two minor children at the center of this proceeding.</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Ashley Okafor respectfully requests that this Court enter orders: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Granting joint legal custody of the two minor children to both parties, with primary physical custody awarded to Petitioner, and Respondent's parenting time as proposed herein, including alternating holidays;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Calculating Respondent Danielle Okafor's child support obligation under Civil Rule 90.3(a) based on her adjusted annual income derived from her reported earnings of approximately $72,000, and ordering Respondent to pay support in monthly installments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Ordering Respondent to contribute to the children's documented medical and extracurricular expenses on a pro-rata basis consistent with the parties' respective adjusted annual incomes;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Awarding the family home in Eagle River to Petitioner as primary custodial parent, subject to an equitable credit to Respondent for her share of the marital equity, consistent with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Dividing the joint savings account and two vehicles equitably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Allocating the shared credit card debt of approximately $9,500 equally, or as the Court deems just, with mutual indemnification provisions;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Granting such other and further relief as this Court deems just and proper under AS 25.24.160.</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2026-08-16T18:19:09.486Z</dcterms:created>
  <dcterms:modified xsi:type="dcterms:W3CDTF">2026-08-16T18:19:09.486Z</dcterms:modified>
</cp:coreProperties>
</file>

<file path=docProps/custom.xml><?xml version="1.0" encoding="utf-8"?>
<Properties xmlns="http://schemas.openxmlformats.org/officeDocument/2006/custom-properties" xmlns:vt="http://schemas.openxmlformats.org/officeDocument/2006/docPropsVTypes"/>
</file>