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(doc-0019)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Colby, Petitioner, respectfully submits this brief in support of the pending petition for dissolution of marriage. The parties were married in Anchorage, Alaska in 2014 and share two minor children, ages six and nine. After a period of chronic communication failures, financial disagreements, and irreconcilable differences, the marriage has suffered an irremediable breakdown. David filed this petition seeking a final decree of dissolution consistent with AS 25.24.200 and the requirements of AS 25.24.230.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While the parties have reached substantial agreement on many core issues, including physical custody, child support, disposition of the family home, vehicle ownership, and credit card responsibility, three matters remain in genuine dispute. The court must resolve: (1) the allocation of the federal and state dependent tax exemption for the two minor children; (2) the valuation and equitable division of David's vested union pension contributions accrued during the marriage; and (3) the designation of a final decision-maker for the children's medical care when the parents cannot reach a mutual agreement.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respectfully requests that the court resolve each disputed issue in the manner set forth herein, consistent with Alaska law and with the overriding objective of fairly allocating the economic consequences of dissolution while serving the best interests of the parties'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Colby and Danielle Colby were married in Anchorage, Alaska in 2014. The marriage produced two minor children, currently ages six and nine. David is employed as a pipeline technician in Kenai, working a rotating schedule that requires him to be away from home for extended periods. Danielle resides in the family home located in Eagle River.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Over the past two years, the marriage deteriorated due to persistent communication failures, financial disagreements, and irreconcilable differences among the parties. David filed this petition for dissolution in the Superior Court, Third Judicial District, on the basis that incompatibility of temperament has caused the irremediable breakdown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agreed that Danielle will exercise primary physical custody of the children during the school week. David will have parenting time on alternating weekends, during school holidays, and for four consecutive weeks each summer. The parties have agreed to share legal custody of the children. David has proposed child support payments of $1,200 per month, a figure he represents as consistent with the Civil Rule 90.3 guidelines applicable to his income and the primary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marital property, the parties have agreed that Danielle will retain the family home in Eagle River, subject to her refinancing the existing mortgage solely in her name within 90 days of the final decree. David will retain his 2019 pickup truck. David accepts sole responsibility for the outstanding balance on the parties' joint credit card, which totals approximately $8,400.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Three issues remain unresolved. First, the parties have not agreed on how to allocate the dependent tax exemption for the two children. Second, David's vested contributions to his union pension, accrued during the marriage, have not been valued or divided. Third, the parties disagree about which parent will hold final decision-making authority for the children's medical care when they cannot reach a joint decision.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provides that a superior court presiding over a dissolution proceeding shall examine the parties' agreements and the evidence to determine whether those agreements are just, whether they fairly allocate the economic effect of dissolution, and whether child-related agreements serve the best interests of the children. AS 25.24.230. In making a property division, the court is authorized under AS 25.24.160(a)(4) to divide property "whether joint or separate, acquired only during marriage, in a just manner," and may apply a set of enumerated statutory factors in determining what division is equitable.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 Where one parent has primary physical custody, support is calculated by multiplying the non-custodial parent's adjusted annual income by the percentage specified in Civil Rule 90.3(a)(2). In a case where the parents share physical custody as defined by the rule, the formula set forth in Civil Rule 90.3(b) applies. The court retains the authority under Civil Rule 90.3(k) to allocate the dependent tax deduction for each child between the parties as is just and proper and in the child's best interests, with any such allocation being consistent with applicable federal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spousal maintenance, AS 25.24.160(a)(2) requires that any maintenance award "fairly allocate the economic effect of divorce" by reference to the factors enumerated in that section. Because no spousal maintenance is at issue here, the primary economic dispute centers on the equitable division of the marital retirement asset.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property division and spousal support serve distinct purposes and are analyzed under separate statutory frameworks. Ruppe v. Ruppe, 358 P.3d 1284 (Alaska 2015). Courts must independently assess each issue rather than use one to offset the other. Id. Courts are further guided by the principle that a just property division begins with a presumptively equal division of marital assets, subject to departure based on the statutory factors. Fletcher v. Fletcher, 433 P.3d 1148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dissolution proceedings involving a pro se party and a represented party, AS 25.24.220(h) directs the court to apply a heightened level of scrutiny to the parties' agreements.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THE COURT SHOULD ALLOCATE THE DEPENDENT TAX EXEMPTION FOR BOTH CHILDREN TO DAVID FOR ALTERNATING TAX YEARS, AS THIS ALLOCATION IS JUST AND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90.3(k) provides that "the court may allocate the dependent tax deduction for each child between the parties as is just and proper and in the child's best interests." The allocation must also be consistent with applicable federal law. Civil Rule 90.3(k).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this case, David will be paying child support and will bear sole responsibility for the approximately $8,400 joint credit card balance. He will also be responsible for maintaining adequate insurance coverage during the periods he has physical custody. An allocation of the dependent tax deduction to David for alternating tax years would partially offset these financial obligations and would ensure that the economic benefit of the deduction inures to the party who bears the heavier direct financial burden in those years. By contrast, Danielle's retention of the family home will afford her substantial financial benefits, including access to the mortgage interest deduction and any future equity appreciation. Awarding Danielle both tax exemptions in addition to the family home would create a disparity that does not fairly reflect each party's respective financial contributions to the children's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alternating-year allocation is a recognized and practical approach consistent with the equitable principles underlying Civil Rule 90.3(k). Courts routinely employ this mechanism where, as here, both parents are actively involved in the children's lives and each parent bears meaningful financial responsibility. Because David's employment income as a pipeline technician is likely to place him in a tax bracket where the exemption produces a meaningful reduction in tax liability, an alternating allocation would produce a real economic benefit that advances the children's overall financial well-being by preserving more net income in the household of the parent who is the support obligor.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Accordingly, David respectfully requests that the court allocate the dependent tax deduction for both children to David in odd-numbered tax years and to Danielle in even-numbered tax years, or in such alternating fashion as the court determines to be just and consistent with federal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DAVID'S UNION PENSION CONTRIBUTIONS ACCRUED DURING THE MARRIAGE ARE MARITAL PROPERTY SUBJECT TO EQUITABLE DIVISION UNDER AS 25.24.160, AND THE COURT SHOULD ORDER A QUALIFIED DOMESTIC RELATIONS ORDER TO ACCOMPLISH THE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authorizes the court to provide "for the division between the parties of their property, including retirement benefits, whether joint or separate, acquired only during marriage, in a just manner." The statute expressly includes retirement benefits within the category of divisible marital property. The Alaska Supreme Court has confirmed that pension and retirement accounts accrued during the marriage are properly included in the marital estate and subject to equitable division. Gallant v. Gallant, 882 P.2d 1252 (Alaska 1994); Ogden v. Ogden, 39 P.3d 513 (Alaska 2001).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David's union pension contributions were accrued entirely during the period of the marriage, which began in 2014. No portion of the pension benefit appears to have been earned prior to the marriage. Accordingly, the full present value of the vested accrued benefit is marital property. The parties have not yet agreed on a valuation, and this dispute is squarely before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a just division of the pension, the court is directed by AS 25.24.160(a)(4) to consider the following factors, among others: the length of the marriage and station in life of the parties; the age and health of the parties; the earning capacity of the parties; the financial condition of the parties; the conduct of the parties, including whether there has been unreasonable depletion of marital assets; the desirability of awarding the family home to the party with primary physical custody; the circumstances and necessities of each party; the time and manner of acquisition of the property in question; and the income-producing capacity of the property and the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Several of these factors weigh in favor of providing Danielle with a meaningful share of the pension. The parties were married for approximately ten years, during which Danielle bore primary custodial responsibilities for the two children. David's earning capacity as a pipeline technician substantially exceeds what would be available to Danielle in the near term, particularly given her custodial role during the school week. The pension was earned entirely during the marriage. At the same time, Danielle is receiving the family home, the most significant single marital asset, which provides her with both a residence and long-term equity. This property award is a substantial benefit that should be weighed against any pension division in order to achieve an overall equitable result.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carefully analyze retirement assets to ensure that all such assets are identified and appropriately valued before any division is ordered. Ogden v. Ogden, 39 P.3d 513 (Alaska 2001). Similarly, in cases involving significant marital assets on both sides of the ledger, a court is not required to divide every asset equally so long as the overall distribution is equitable. Fletcher v. Fletcher, 433 P.3d 1148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proposes that the court order a formal actuarial valuation of the vested pension benefit accrued from the date of the marriage through the date of the dissolution decree. Following valuation, the court should determine the equitable share of that benefit to be awarded to Danielle in light of the full picture of the property division, including her receipt of the family home. If the court determines that Danielle is entitled to a portion of the pension, any distribution should be effectuated through a qualified domestic relations order consistent with AS 25.24.160(b), which requires that any judgment distributing retirement benefits to an alternate payee under the applicable plan provisions meet the requirements of a qualified domestic relations order as defined therein.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mechanism protects both parties. It ensures that Danielle receives whatever share the court determines is equitable without subjecting David to early withdrawal penalties or tax consequences that would diminish the overall marital estate. Gallant v. Gallant, 882 P.2d 1252 (Alaska 1994).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DESIGNATE DAVID AS THE FINAL DECISION-MAKER FOR THE CHILDREN'S MEDICAL CARE IN THE EVENT THE PARTIES CANNOT REACH AGREEMENT, SUBJECT TO PROCEDURAL PROTECTIONS THAT PROTECT DANIELLE'S MEANINGFUL PARTICIPATION.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have agreed to share legal custody of the two minor children. Shared legal custody means that both parents will ordinarily participate in making major decisions about the children's welfare, education, and medical care. However, when parents share legal custody and cannot agree, a practical mechanism must exist to resolve impasses, particularly in the context of time-sensitive medical decisions.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25.24.160(a)(1) authorizes the court to provide for the nurture and education of the children in such manner as may be just and proper. AS 25.24.220(d)(2) directs the court to examine whether the written agreements of the parties concerning child custody and related arrangements "are just as between the spouses and in the best interests of the children of the marriage." AS 25.24.230(b)(2) similarly requires the court to find, before granting a dissolution decree under a heightened scrutiny regime, that the child-related agreements "are in the best interest of the children of the marriage" and are just as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this case, designating a final decision-maker for medical matters does not eliminate Danielle's participation. Rather, it ensures that in the rare circumstance where the parties cannot reach agreement, a decision can be made promptly and without requiring the children or their treating physicians to wait for judicial intervention. The parties' own history of chronic communication difficulties, cited as a contributing cause of the marriage's breakdown, underscores the practical necessity of such a mechanism.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David's rotating schedule as a pipeline technician in Kenai creates a factual asymmetry. During his work rotations, David may be difficult to reach in real time. Because Danielle will have primary physical custody during the school week and will therefore be more consistently present in the children's daily lives, and because the children's primary pediatric care providers are geographically proximate to the Eagle River family home, David concedes that designating Danielle as the final medical decision-maker in the event of an impasse is a practical and appropriate arrangement. David raises this issue not to oppose Danielle's authority, but to ensure that the final decree expressly defines the scope of that authority, including appropriate consultation requirements before any major elective medical procedure is scheduled, so that David's meaningful participation in legal custody is preserved.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therefore order that: (1) both parents are obligated to confer in good faith before any major non-emergency medical decision is made; (2) in the event of a genuine impasse on a non-emergency medical matter, Danielle holds the authority to make the final decision; (3) emergency medical decisions may be made by whichever parent is present with the child at the time of the emergency, without prior consultation being required; and (4) the parent making any unilateral emergency decision must notify the other parent as soon as practicable thereafter.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framework is consistent with the best-interests standard and with the practical realities of the parties' custodial arrangement. The Alaska Supreme Court has recognized that child custody and related legal authority decisions must be anchored in what actually serves the children's welfare, assessed from a practical standpoint. Sandberg v. Sandberg, 322 P.3d 879 (Alaska 2014); Brown v. Brown, 914 P.2d 206 (Alaska 1996).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PROPOSED CHILD SUPPORT AMOUNT OF $1,200 PER MONTH IS CONSISTENT WITH CIVIL RULE 90.3 AND SHOULD BE CONFIRMED IN THE FINAL DECREE, WITH ANY ADJUSTMENT FOR DAVID'S EXTENDED SUMMER PARENTING TIME AS THE RULE PERMITS.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 has proposed paying $1,200 per month in child support. The parties' custodial arrangement, under which the children reside primarily with Danielle during the school week and spend alternating weekends, school holidays, and four weeks each summer with David, will determine the applicable support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90.3(a) provides the primary framework for child support where one parent holds primary physical custody. Under Civil Rule 90.3(a)(2), the support amount for two children is calculated by multiplying the non-custodial parent's adjusted annual income by 27 percent. The adjusted annual income is determined by subtracting mandatory deductions specified in Civil Rule 90.3(a)(1) from David's total income from all sources.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David's four-week consecutive summer parenting block is significant. Civil Rule 90.3(a)(3) provides that "the court may allow the obligor parent to reduce child support payments by up to 75% for any period in which the obligor parent has extended visitation of over 27 consecutive days." Because David's proposed four-week summer parenting period is exactly 28 days, the court has discretion to allow a reduction in support payments during that period. The final decree should specify the amount of the permitted reduction so that David may plan his financial obligations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confirm that $1,200 per month reflects a proper application of the Rule 90.3(a)(2) formula to David's adjusted annual income, or, if the calculation does not align with the formula, the court should adjust the amount to bring it into compliance. The primary objective is that the support award be "adequate to meet the needs of children, subject to the ability of parents to pay," which is among the express purposes of the Rule 90.3 formula, as recognized in Ruppe v. Ruppe, 358 P.3d 1284 (Alaska 2015), and that it be predictable and consistent for both parties.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David Colby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 final decree of dissolution confirming the agreed-upon custodial arrangement, property division, vehicle assignment, and credit card responsibility as set forth in the parties'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Confirm the child support obligation at $1,200 per month or at such amount as a proper Civil Rule 90.3(a) calculation of David's adjusted annual income requires for two children, with a specified extended-visitation reduction credit for the four-week summer parenting period pursuant to Civil Rule 90.3(a)(3).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Allocate the dependent tax deduction for the two minor children in alternating tax years between the parties, consistent with Civil Rule 90.3(k) and applicable federal law, with David receiving the deduction in odd-numbered years and Danielle receiving the deduction in even-numbered years.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 a formal actuarial valuation of David's vested union pension benefit accrued during the marriage, and thereafter determine and order an equitable division of that benefit by means of a qualified domestic relations order consistent with AS 25.24.160(b), taking into account the full property division including Danielle's receipt of the family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Designate Danielle as the final decision-maker for the children's non-emergency medical care in the event of a parental impasse, subject to a good-faith prior consultation requirement and to David's right to make unilateral decisions during genuine medical emergencies when Danielle is unavailable, with prompt notification to follow.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the court determines to be just and proper under AS 25.24.160 and the related dissolution statutes.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2026-08-16T18:20:50.426Z</dcterms:created>
  <dcterms:modified xsi:type="dcterms:W3CDTF">2026-08-16T18:20:50.426Z</dcterms:modified>
</cp:coreProperties>
</file>

<file path=docProps/custom.xml><?xml version="1.0" encoding="utf-8"?>
<Properties xmlns="http://schemas.openxmlformats.org/officeDocument/2006/custom-properties" xmlns:vt="http://schemas.openxmlformats.org/officeDocument/2006/docPropsVTypes"/>
</file>