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(doc-0021)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comes before the Court on the parties' petition for dissolution of marriage. Petitioner David Sutter and Respondent Danielle Sutter were married in Anchorage, Alaska in 2014 and have two minor children together, ages six and nine. After years of marital strain attributable to David's extended work absences on the North Slope and persistent communication difficulties, David filed for dissolution in Alaska Superior Court, Family Division, in March 2025. The parties have reached a tentative agreement addressing the primary issues incident to dissolution, including physical custody and parenting time, child support, division of real and personal property, and allocation of marital debts. This brief is submitted to assist the Court in evaluating the agreement against the applicable statutory and rule-based standards and to demonstrate that the proposed terms are fair, just, and in the best interests of the minor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Sutter and Danielle Sutter were married in Anchorage, Alaska in 2014. The marriage produced two minor children: a nine-year-old and a six-year-old, both of whom reside in the family home located in Eagle River, Alaska. Over the course of the marriage, David worked as an oilfield technician on the North Slope, a position requiring extended rotational absences, typically in two-week-on and two-week-off cycles. Danielle has been the primary caregiver for the children during David's work rotations. The parties agree that the combination of David's prolonged absences and resulting communication breakdowns caused an irremediable breakdown of the marriage due to incompatibility of temperament.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filed a petition for dissolution in March 2025. The parties have negotiated in good faith and reached a tentative agreement on all material issues. With respect to the children, the parties propose that Danielle have primary physical custody during the school year, with David exercising parenting time during his two-week off-rotation periods, alternating major holidays, and extended parenting time each summer. Both parties shall share legal custody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Regarding child support, David, as the parent with substantially higher income from his oilfield employment, agrees to pay support calculated pursuant to Civil Rule 90.3. As to the marital estate, Danielle will retain the marital home in Eagle River, subject to her refinancing the existing mortgage solely in her name within a reasonable period. David will retain his personal savings account and his 401(k) account, both of which accrued value during the marriage. To account for the disparity in asset values between the marital home on one side and David's retained financial accounts on the other, David will make an equalization payment to Danielle. The parties further agree that the joint credit card balance of approximately $14,000 and the vehicle loan on the automobile in Danielle's possession will be allocated between the parties in proportion to respective use and ability to pay, subject to the Court's review and final decree.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25.24.200, spouses may jointly petition the superior court for dissolution of their marriage upon a showing, among other things, that incompatibility of temperament has caused the irremediable breakdown of the marriage, that they have agreed on the custody, support, and visitation of their minor children, and that they have reached a fair and just agreement on the division of property and the allocation of debts. The petition must be filed and verified in conformity with AS 25.24.210.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filing, AS 25.24.220 requires the court to conduct a hearing and examine the petitioners to determine, among other things, whether the spouses fully understand the nature and consequences of the action, whether the custody and support agreements are just and in the best interests of the children, and whether the property and debt agreements fairly allocate the economic effect of dissolution taking into consideration the factors listed in AS 25.24.160(a)(2) and (4). Where circumstances exist that require heightened scrutiny, such as the presence of minor children, the court must examine the agreements with greater care under AS 25.24.220(h) and (i).</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a primary physical custody arrangement is governed by Civil Rule 90.3(a), which provides a formula-based calculation using the non-custodial parent's adjusted annual income multiplied by a specified percentage based on the number of children. The right to adequate child support belongs to the children, and the court is not bound by any parental agreement that falls below guideline levels absent a written finding that the children's needs will be otherwise met.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Property division in a dissolution proceeding must conform to AS 25.24.160(a)(4), which requires the court to divide property in a just manner based on enumerated factors, including the length of the marriage, the age and health of the parties, earning capacity, financial condition, and the desirability of awarding the family home to the parent with primary physical custody of the children. Spousal maintenance, if awarded, must comply with AS 25.24.160(a)(2). Debt allocation is similarly subject to the court's equitable authority and must fairly allocate the economic effect of dissolution. These standards have been consistently applied and elaborated upon by the Alaska Supreme Court. See Ruppe v. Ruppe, 358 P.3d 1284 (Alaska 2015); Partridge v. Partridge, 239 P.3d 680 (Alaska 2010); Sandberg v. Sandberg, 322 P.3d 879 (Alaska 2014).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PARTIES' CUSTODY AND PARENTING TIME AGREEMENT IS IN THE BEST INTERESTS OF THE CHILDREN AND SHOULD BE APPROVED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custody arrangement places primary physical custody of both children with Danielle during the school year, while preserving David's meaningful and regular parenting time consistent with his North Slope work rotation. This arrangement reflects the realities of David's employment schedule and serves the continuity and stability interests of both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25.20.090, when the court considers shared or primary custody arrangements, it must evaluate a range of factors including the needs of the child, the stability of the home environment offered by each parent, the advantages of keeping the child in the community where the child presently resides, the optimal time for the child to spend with each parent considering the actual time spent with each parent and the proximity of each parent to the school, and the willingness and ability of each parent to facilitate and encourage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Each of these factors supports the proposed arrangement. Danielle has served as the primary caregiver throughout the marriage, providing the children with a stable home environment in Eagle River where both children are enrolled in school. Retaining the children in this community minimizes disruption to their educational and social development. David's parenting time, structured around his predictable two-week off-rotation periods, is tailored to reflect the actual time he is available and present in Anchorage. This arrangement ensures that the children will have regular, meaningful contact with both parents throughout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both parties have demonstrated a willingness to cooperate in facilitating the children's relationship with the other parent. The alternating holiday schedule and extended summer parenting time reflect a balanced and thoughtful agreement that serves the children's best interests. The court in Faulkner v. Goldfuss, 46 P.3d 993 (Alaska 2002), recognized that parental agreements on custody, while not binding on the court, are relevant considerations and that courts must independently evaluate what arrangement best serves the children. The proposed arrangement withstands that independent scrutiny.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SHOULD BE CALCULATED UNDER CIVIL RULE 90.3(a) BASED ON DAVID'S ADJUSTED ANNUAL INCOME AS THE NON-CUSTODIAL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Danielle will have primary physical custody of both children during the school year, child support is governed by Civil Rule 90.3(a). That rule requires the court to calculate support as the non-custodial parent's adjusted annual income multiplied by a specified percentage: 20% for one child and 27% for two children. Civil Rule 90.3(a)(2)(A), (B).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David's adjusted annual income is derived from his total income as an oilfield technician, reduced by the mandatory deductions enumerated in Civil Rule 90.3(a)(1)(A), including federal and state income taxes, Social Security and Medicare taxes, and any mandatory contributions to a retirement or pension plan, as well as permissible voluntary retirement contributions, health insurance premiums within the applicable cap, and other allowable deductions. The parties agree that David's income is substantially higher than Danielle's, and that David is properly designated the obligor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emphasized that Civil Rule 90.3 is designed to ensure that child support orders are adequate to meet the needs of children while remaining predictable and consistent. See Ruppe v. Ruppe, 358 P.3d 1284 (Alaska 2015); Gorton v. Mann, 281 P.3d 81 (Alaska 2012). In Sharon Thompson v. Everett Thompson, 454 P.3d 981 (Alaska 2019), the court confirmed that a parent's adjusted annual income for Rule 90.3(a)(1) purposes is calculated from total income across all sources, reduced by the deductions enumerated in the rule.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request that the Court order David to pay child support in an amount calculated in strict conformity with the Civil Rule 90.3(a)(2) percentage guidelines applied to his verified adjusted annual income, with appropriate provision for the children's health insurance and any work-related childcare expenses consistent with Civil Rule 90.3(a)(1)(E) and (F). The Court should also note that during the summer period when David exercises extended parenting time, any reduction or credit mechanism must comport with the requirements of Civil Rule 90.3(a)(3), which permits reduction only for extended visitation exceeding 27 consecutive days and only up to the 75% limit specified in the rule.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PROPOSED PROPERTY DIVISION FAIRLY ALLOCATES THE ECONOMIC EFFECT OF DISSOLUTION AND SHOULD BE APPROVED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division of marital property satisfies the requirements of AS 25.24.160(a)(4), which mandates that the court divide the parties' property acquired during the marriage in a just manner, without regard to fault, and based on consideration of the statutory factors. The agreement as structured achieves an equitable result when measured against those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relevant statutory factors include the length of the marriage and the station in life of the parties during the marriage; the age and health of the parties; the earning capacity of the parties, including their educational backgrounds, training, employment skills, work experiences, length of absence from the job market, and custodial responsibilities for children during the marriage; the financial condition of the parties, including the availability and cost of health insurance; the conduct of the parties, including whether there has been unreasonable depletion of marital assets; the desirability of awarding the family home, or the right to live in it for a reasonable period of time, to the party who has primary physical custody of children; the circumstances and necessities of each party; the time and manner of acquisition of the property in question; and the income-producing capacity of the property and the value of the property at the time of division. AS 25.24.160(a)(4)(A)-(I).</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Application of these factors strongly supports the proposed division. First, as to the marital home: AS 25.24.160(a)(4)(F) expressly identifies the desirability of awarding the family home to the party with primary physical custody of the children as a relevant consideration. Because the children will reside primarily with Danielle in Eagle River during the school year, awarding Danielle the family home directly serves the stability and continuity interests of both minor children and is squarely consistent with statutory policy. The Alaska Supreme Court recognized this principle in Partridge v. Partridge, 239 P.3d 680 (Alaska 2010), which highlighted the court's obligation to weigh all enumerated statutory factors in reaching a just result. Danielle's obligation to refinance the mortgage solely in her name protects David from ongoing liability on a debt secured by property he will no longer own.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David retains his personal savings account and his 401(k) accrued during the marriage, both of which represent significant marital assets. The equalization payment from David to Danielle is designed to account for any disparity between the net equity in the marital home and the value of David's retained financial accounts. This mechanism ensures that neither party receives a windfall and that the division fairly allocates the marital estate. The Alaska Supreme Court in Sandberg v. Sandberg, 322 P.3d 879 (Alaska 2014), reaffirmed that the court must critically evaluate agreements between the parties to confirm that the property division is genuinely just, particularly where one party has significantly greater earning capacity, as is the case here given David's higher income as an oilfield technician.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the agreement appropriately accounts for the disparity in the parties' earning capacities. David's long-established employment as an oilfield technician gives him substantially greater earning capacity and financial security going forward, while Danielle, who bore significant custodial responsibilities during the marriage and will continue to do so as primary custodial parent, may face reduced earning capacity in the short term. These facts weigh in favor of ensuring that Danielle receives a fair share of the marital estate through both the home award and the equalization payment. See Sharon Thompson v. Everett Thompson, 454 P.3d 981 (Alaska 2019) (affirming courts' consideration of disparity in earning capacity and separate property status in structuring a just property division).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PROPOSED DEBT ALLOCATION IS EQUITABLE AND SHOULD BE INCORPORATED INTO THE FINAL DECREE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agreement allocates the joint credit card balance of approximately $14,000 and the vehicle loan on the automobile in Danielle's possession between the parties in proportion to respective use and ability to pay. This approach is consistent with the court's broad equitable authority under AS 25.24.160(a) to provide for a just division of marital obligations as part of the dissolution decree.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that guide property division under AS 25.24.160(a)(4) apply equally to the allocation of marital debts. David's substantially greater income and earning capacity support his assumption of a proportionately larger share of the joint credit card balance. Danielle's retention and continued use of the vehicle support her responsibility for the vehicle loan, which is secured by an asset she will continue to possess and use. At the same time, her reduced earning capacity during the period following dissolution warrants the Court's scrutiny to ensure that the debt allocation does not impose an undue burden that undermines the other equitable provisions of the dissolution decree.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is respectfully requested to review and confirm that the debt allocation, as agreed by the parties, fairly allocates the economic effect of dissolution and does not result in an inequitable outcome for either party or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DISSOLUTION PETITION SATISFIES ALL PROCEDURAL REQUIREMENTS UNDER AS 25.24.200, AS 25.24.210, AND AS 25.24.220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petition for dissolution meets the threshold requirements of AS 25.24.200(a). Incompatibility of temperament, as evidenced by David's prolonged North Slope absences and the persistent communication breakdown between the parties, has caused the irremediable breakdown of the marriage. The parties have agreed on custody, support, and visitation for their two minor children. They have also reached a fair and just agreement on the division of property, including the marital home and all financial accounts, as well as the allocation of marital debts.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petition has been filed and verified in the superior court in conformity with AS 25.24.210, which requires the petition to state in detail the terms of the custody, support, visitation, spousal maintenance, and property division agreements, as well as to identify the respective occupations, income, assets, and liabilities of the parties, the date and place of the marriage, and information concerning each minor child of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scheduled hearing under AS 25.24.220, both parties will be present to be examined by the Court. The Court will be asked to determine that the parties fully understand the nature and consequences of the dissolution, that the custody and support agreements are in the best interests of the children, and that the property and debt agreements fairly allocate the economic effect of dissolution in conformity with AS 25.24.160(a)(2) and (4). Because the parties have a minor child of the marriage, AS 25.24.220(h)(3) requires that the Court apply a heightened level of scrutiny to the agreements. The parties welcome this review and submit that the agreements, taken as a whole, satisfy the heightened standard imposed by AS 25.24.220(i).</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required forms and accompanying instructions, as prepared under AS 25.24.250, have been obtained and completed. The petition constitutes the entire agreement between the parties as required by AS 25.24.200(a) and AS 25.24.210(e)(10).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the foregoing reasons, the parties respectfully request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the conditions for dissolution under AS 25.24.200(a) are satisfied;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Approve the proposed primary physical custody arrangement placing the children with Danielle during the school year, with David's parenting time during his off-rotation periods, alternating holidays, and extended summer time, as being in the best interests of the minor children under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child support from David to Danielle calculated in strict conformity with Civil Rule 90.3(a) based on David's verified adjusted annual income, for two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Approve the property division awarding the marital home to Danielle subject to refinancing, David's retention of his savings and 401(k) accounts, and an equalization payment to Danielle, as a just division under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Approve the proposed debt allocation assigning the joint credit card balance and vehicle loan between the parties in proportion to use and ability to pay, as a fair and equitable resolution of marital obligations under AS 25.24.160(a);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Enter a final decree of dissolution incorporating all agreed terms.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Respectfully submitted.</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2026-08-16T18:25:49.406Z</dcterms:created>
  <dcterms:modified xsi:type="dcterms:W3CDTF">2026-08-16T18:25:49.406Z</dcterms:modified>
</cp:coreProperties>
</file>

<file path=docProps/custom.xml><?xml version="1.0" encoding="utf-8"?>
<Properties xmlns="http://schemas.openxmlformats.org/officeDocument/2006/custom-properties" xmlns:vt="http://schemas.openxmlformats.org/officeDocument/2006/docPropsVTypes"/>
</file>