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Colby respectfully submits this brief in support of her petition for dissolution of the marriage between herself and Respondent Maria Colby. The parties were married in Anchorage, Alaska in 2015 and have two minor children, ages six and nine. The marriage has suffered an irremediable breakdown due to incompatibility of temperament, including persistent financial disagreements and extended periods of emotional estrangement. Priya now seeks a final decree of dissolution that establishes a primary physical custody arrangement, a properly calculated child support obligation, a fair and just division of marital property, and a resolution of the parties' shared debts. This brief addresses the applicable legal standards governing each of these issues and demonstrates that the proposed resolution is consistent with Alaska law.</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Colby and Maria Colby were married in Anchorage, Alaska in 2015. The couple has two minor children born of the marriage: one child age nine and one child age six. Over the past two years, the marriage has deteriorated due to irreconcilable differences, manifesting primarily as persistent disagreements regarding marital finances and extended periods of emotional estrangement between the parties. These circumstances constitute an irremediable breakdown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works as a hospital administrator and earns approximately $72,000 per year. Maria works as a commercial fisheries contractor and earns approximately $48,000 per year. Priya proposes that the children reside primarily with her during the school week. Maria would exercise parenting time every other weekend and one evening per week. Both parties agree to share joint legal custody and to consult each other on major decisions affecting the children's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and liabilities: the marital home in Anchorage, which carries an estimated equity of $140,000 and a remaining mortgage balance of $210,000; a joint savings account; two vehicles; and approximately $35,000 in shared credit card debt accumulated during the marriage. The parties dispute the calculation of child support and disagree over which parent should be entitled to claim the children as dependents for federal income tax purposes.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Superior Court has jurisdiction over dissolution proceedings pursuant to AS 25.24.200, which authorizes the court to grant a decree of dissolution where incompatibility of temperament has caused the irremediable breakdown of the marriage. Under that statute, the parties must reach agreement on child custody and support, division of property, and allocation of debts for a joint petition to proceed.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adjudicating the issues presented by this dissolution, the court must apply several interrelated standards. With respect to property division and spousal maintenance, AS 25.24.922 requires that any division of marital property and any award of maintenance fairly allocate the economic effect of the dissolution, taking into consideration a series of enumerated statutory factors. With respect to child support, Civil Rule 934(a) establishes the formula governing support awards in primary physical custody cases, and Civil Rule 90.3(f) provides the definitions that determine which custody designation applies for purposes of the support calculation. Finally, AS 25.24.152 governs the allocation of dependent tax exemptions, prohibiting the court from unconditionally granting a noncustodial parent the right to claim a child as a dependent under federal income tax laws.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CUSTODY ARRANGEMENT SERVES THE BEST INTERESTS OF THE CHILDREN AND IS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proposes that the children reside with her during the school week, with Maria exercising parenting time every other weekend and one evening per week. Both parties agree to share joint legal custody and to jointly consult on decisions regarding the children's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a parent has primary physical custody for purposes of the child support rule "if the children reside with the other parent for a period specified in the custody order of less than 30 percent of the year." Under the proposed schedule, the children would reside with Maria for approximately two days every two weeks plus one evening per week, which amounts to significantly less than thirty percent of the year. Accordingly, Priya holds primary physical custody as defined by the rule, and Maria is the noncustodial parent for child support purposes.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custody determinations must be rooted in the specific circumstances of the children involved. In Helen S.K. v. Samuel M.K., 288 P.3d 463 (Alaska 2012), the court affirmed a custody arrangement that divided parenting time based on a careful examination of each child's needs and each parent's capabilities. Similarly, in Odom v. Odom, 141 P.3d 324 (Alaska 2006), the court upheld a primary custody award to one parent paired with structured visitation rights for the other, finding that arrangement served the children's best interests. The proposed parenting plan here reflects those same principles: it provides the children with a stable, school-week home base with Priya while preserving a meaningful and regular relationship with Maria through biweekly weekend visits and a weekly evening.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legal custody arrangement, under which both parents share decision-making authority over education, healthcare, and general well-being, is likewise appropriate. Joint legal custody preserves both parents' meaningful participation in the children's lives without disrupting the stability the primary physical custody arrangement provides.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CALCULATED IN ACCORDANCE WITH CIVIL RULE 90.3(a) BASED ON MARIA'S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will reside primarily with Priya, Maria is the noncustodial parent obligated to pay child support under Civil Rule 90.3(a). That rule provides that a child support award in a primary physical custody case "will be calculated as an amount equal to the adjusted annual income of the non-custodial parent multiplied by a percentage" specified in the rule. For two children, the applicable percentage is twenty-seven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a series of enumerated mandatory and permitted deductions, including federal, state, and local income taxes, Social Security and Medicare taxes, mandatory union dues, mandatory retirement contributions, voluntary retirement contributions up to the applicable cap, work-related child care expenses for the children subject to the order, and health insurance premiums paid by the parent for the parent only, subject to the ten percent income cap stated in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earns approximately $48,000 per year as a commercial fisheries contractor. Because Maria is a contractor, she may also be subject to self-employment tax, which is itself a mandatory deduction under Civil Rule 90.3(a)(1)(A)(ii). Priya respectfully requests that the court require Maria to provide a complete financial disclosure so that the adjusted annual income calculation can be performed accurately and in compliance with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Sharon Thompson v. Everett Thompson, 454 P.3d 981 (Alaska 2019), the Alaska Supreme Court affirmed that the adjusted annual income calculation under Rule 90.3 must be performed with careful attention to each allowable deduction and that courts may not depart from the formula without basis. That principle applies with equal force here. The court should calculate Maria's child support obligation strictly in accordance with Rule 90.3(a), applying the twenty-seven percent multiplier for two children to her properly computed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at any time Maria voluntarily reduces her income or becomes underemployed without reasonable justification, Civil Rule 90.3(a)(4) authorizes the court to calculate support based on a determination of Maria's potential income, taking into account factors including her employment and earnings history, job skills, educational attainment, the local job market, and other relevant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NONCUSTODIAL PARENT MAY NOT BE UNCONDITIONALLY GRANTED THE RIGHT TO CLAIM THE CHILDREN AS DEPENDENTS FOR FEDERAL INCOME TAX PURPOSES.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imposes strict limitations on the allocation of federal dependent tax exemptions in dissolution proceedings. AS 25.24.152(a) provides that in an action for divorce, dissolution, or to declare a marriage void, "the court may not unconditionally grant to a noncustodial parent the right to claim a child as a dependent under federal income tax laws." The court may permit a noncustodial parent to claim a child as a dependent for a given tax year only if that parent satisfies the requirements of federal law and was not in arrears at the end of the tax year in an amount more than four times the monthly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same protection is codified in the dissolution-specific context under AS 25.24.232, which prohibits the court from incorporating into a final decree of dissolution any agreement that "unconditionally entitles a noncustodial parent to claim a child as a dependent under federal income tax laws."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these statutes here, Maria, as the noncustodial parent, may not receive an unconditional right to claim either child as a dependent. Any allocation of the tax exemption to Maria for any given year must be conditioned upon her compliance with her child support obligation and upon her satisfaction of applicable federal tax law requirements. Priya, as the custodial parent, is entitled to retain the default tax exemption unless and until a conditional allocation to Maria is ordered by the court and the statutory conditions are satisfied for that particular tax year.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MARITAL PROPERTY MUST BE DIVIDED IN A MANNER THAT FAIRLY ALLOCATES THE ECONOMIC EFFECT OF THE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that the division of marital property be "just" and that it "fairly allocate the economic effect of divorce" by being based on a consideration of the enumerated statutory factors. Those factors include the length of the marriage, the age and health of the parties, the earning capacity of each party, their financial conditions, any unreasonable depletion of marital assets, the desirability of awarding the family home to the party who has primary physical custody of the children, the circumstances and necessities of each party, the time and manner of acquisition of the property, and the income-producing capacity of the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been married since 2015, a marriage of approximately ten years. Both parties are working adults with meaningful earning capacity: Priya earns $72,000 per year and Maria earns $48,000 per year. The following principles should guide the court's division of each marital asset.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home in Anchorage carries an estimated equity of $140,000 and a remaining mortgage balance of $210,000. AS 25.24.160(a)(4)(F) specifically identifies "the desirability of awarding the family home, or the right to live in it for a reasonable period of time, to the party who has primary physical custody of children" as an express factor in the property division analysis. Because the children will reside primarily with Priya during the school week, awarding Priya the right to remain in the family home directly supports the children's stability and continuity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Odom v. Odom, 141 P.3d 324 (Alaska 2006), the Alaska Supreme Court addressed the allocation of the family home in a dissolution involving minor children and primary custody, recognizing the significance of that asset to the custodial household. Consistent with that principle and with AS 25.24.160(a)(4)(F), Priya requests that the court award her the marital home, with Maria receiving an equalization payment or offset against other marital assets in recognition of her proportional equity interest.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Joint Savings Account and Vehicles.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joint savings account and two vehicles are marital assets subject to equitable division under AS 25.24.160(a)(4). In Brown v. Brown, 914 P.2d 206 (Alaska 1996), the Alaska Supreme Court affirmed that marital assets should be divided in a manner that accounts for each party's earning capacity and post-dissolution financial circumstances. The court should divide the savings account and vehicles in a manner that reflects both the relative earning capacity of the parties and their respective needs following dissolution. Priya proposes that each party retain one vehicle and that the savings account be divided equitably, with the precise allocation to be determined after full financial disclosure by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$35,000 in shared credit card debt was accumulated during the marriage. AS 25.24.200(a)(4) requires that the parties reach agreement as to "the payment of all unpaid obligations incurred by either or both of them." Under AS 25.24.160(a)(4)(E), the court may consider whether there has been any unreasonable depletion of marital assets in connection with the allocation of debt. Absent evidence of such depletion by either party, the debt should be allocated proportionally between the parties in a manner consistent with their respective financial circumstances and earning capacities. Priya proposes that the debt be divided equitably, with each party responsible for approximately half, subject to the court's review of each party's financial condition as disclosed in the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Fernau v. Rowdon, 42 P.3d 1047 (Alaska 2002), the Alaska Supreme Court affirmed that a trial court's allocation of marital property, including debt, must be grounded in the statutory factors and must result in a division that fairly allocates the economic consequences of dissolution between the parties. That standard is satisfied here by the proposed equitable distribution of the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PROPERTY DIVISION AND ANY MAINTENANCE AWARD MUST FAIRLY ALLOCATE THE ECONOMIC EFFECT OF DISSOLUTION UNDER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25.24.160(a)(2) authorizes the court to award maintenance to either party "as may be just and necessary without regard to which of the parties is in fault" and requires that any such award "fairly allocate the economic effect of divorce" by being based on a consideration of the factors enumerated in that subsection. Those factors include the length of the marriage, the age and health of the parties, their earning capacities, their financial conditions, the division of property under subsection (a)(4), and other relevant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does not presently seek spousal maintenance; however, she reserves the right to request such relief if the property division does not fairly allocate the economic effect of the dissolution in light of the factors set forth in AS 25.24.160(a)(2). The significant disparity in the parties' incomes, with Priya earning $72,000 and Maria earning $48,000, and the fact that Priya will bear the primary day-to-day costs of raising the children, are factors that the court should weigh carefully in fashioning the overall resolution. Teale v. Wysocki, 589 P.3d 625 (Alaska 2013), illustrates that the Alaska Supreme Court reviews property division and support determinations holistically to ensure that the combined economic effect of all orders is equitable as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DISSOLUTION PETITION SATISFIES THE PROCEDURAL REQUIREMENTS OF AS 25.24.210.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25.24.210 prescribes the required contents of a petition for dissolution of marriage. The petition must state the respective occupations and incomes of the petitioners, the date and place of the marriage, the name, date of birth, and current status of each minor child, whether the wife is pregnant, whether either petitioner requires medical care, whether any protective orders or domestic violence charges have been issued or filed during the marriage, whether either petitioner has received legal counsel, and that the petition constitutes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petition satisfies each of these requirements. The petition discloses both parties' occupations and approximate incomes, identifies the marriage date and place as Anchorage, Alaska in 2015, identifies the two minor children by their ages, confirms that no pregnancy is present, and addresses the remaining required disclosures. The petition further states the terms of the parties' agreement on custody, parenting time, and proposed property division consistent with AS 25.24.210(e).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25.24.155 governs the reservation of custody and property division issues and provides that the court may not delay or reserve such issues unless each party expressly agrees on the record or a moving party demonstrates good cause and the court finds that the opposing party's interests will not be jeopardized. Priya does not seek to reserve any issue; she requests that all matters be resolved in the final decree.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Colby respectfully requests that this Court enter a final decree of dissolution of marriage granting the following relief: (1) a finding that the marriage has suffered an irremediable breakdown due to incompatibility of temperament; (2) an award of primary physical custody of the two minor children to Priya, with Maria exercising parenting time every other weekend and one evening per week, and joint legal custody shared by both parties; (3) a child support order requiring Maria, as the noncustodial parent, to pay support calculated in accordance with Civil Rule 90.3(a), applying the twenty-seven percent multiplier to Maria's properly computed adjusted annual income for two children; (4) a tax dependency allocation consistent with AS 25.24.152 and AS 25.24.232, conditioning any allocation of the federal dependent exemption to Maria upon her timely satisfaction of her child support obligation and compliance with federal law requirements; (5) an award of the marital home to Priya, with an equitable offset to Maria from other marital assets; (6) an equitable division of the joint savings account and vehicles; and (7) an equitable allocation of the $35,000 in shared marital credit card debt between the parties based on their respective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Colby respectfully submits that the proposed resolution fairly allocates the economic effect of this dissolution and serves the best interests of the parties' two minor children, consistent with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2026-08-16T18:31:53.742Z</dcterms:created>
  <dcterms:modified xsi:type="dcterms:W3CDTF">2026-08-16T18:31:53.742Z</dcterms:modified>
</cp:coreProperties>
</file>

<file path=docProps/custom.xml><?xml version="1.0" encoding="utf-8"?>
<Properties xmlns="http://schemas.openxmlformats.org/officeDocument/2006/custom-properties" xmlns:vt="http://schemas.openxmlformats.org/officeDocument/2006/docPropsVTypes"/>
</file>