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Bergstrom brings this action for dissolution of her marriage to Michael Bergstrom pursuant to AS 25.24.160 and AS 25.24.200. The parties were married in Anchorage, Alaska in 2014 and have two minor children, ages six and nine. After a decade of marriage marked by Michael's extended absences for North Slope employment and persistent disputes over financial management, the marriage has irretrievably broken down. Elena now seeks a final decree of dissolution that addresses physical and legal custody of the children, child support calculated in accordance with Alaska Civil Rule 90.3, allocation of marital property including the family home and Michael's PERS retirement account, and equitable distribution of the parties' joint debt. The relief requested is consistent with Alaska law and serves both the best interests of the minor children and the equitable treatment of both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and Michael Bergstrom were married in Anchorage, Alaska in 2014. During the ten years of the marriage, the couple had two children, now ages six and nine. Throughout the marriage, Elena served as the children's primary caregiver while Michael worked as a petroleum technician on the North Slope, requiring extended absences from the family home located in Eagle River,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 earns approximately $95,000 per year as a petroleum technician. Elena earns approximately $38,000 per year as a dental hygienist. The significant disparity in the parties' incomes, combined with Michael's recurring work-related absences and recurring disputes over financial management, caused the marriage to deteriorate over the past two years. The breakdown of the marital relationship is irremediable.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Eagle River family home encumbered by a mortgage of approximately $220,000, two motor vehicles, a joint savings account, and Michael's PERS retirement account accumulated during the marriage. The parties have also incurred approximately $18,000 in shared credit card debt that has not yet been allocated between them.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proposes that the children reside primarily with her during the school year, with Michael exercising alternating weekend visits and extended parenting time during summers and school breaks. The parties agree to share joint legal custody for major decisions affecting the children's health, education, and general well-being. Elena requests that child support be set according to Civil Rule 90.3, and that Michael contribute to unreimbursed medical and childcare expenses on a pro-rata income basis.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an action for dissolution of marriage, the superior court has broad authority to address child support, child custody, spousal maintenance, and property division. AS 25.24.160 authorizes the court to order payment for the nurture and education of children, award maintenance, and divide property acquired during the marriage in a just manner. Under AS 25.24.160(a)(4), the division of property must fairly allocate the economic effect of divorce based on a consideration of enumerated statutory factors, including the length of the marriage, the age and health of the parties, their respective earning capacities, and the financial condition of each party. Under AS 25.24.160(a)(2), any maintenance award must be based on similar factors and must fairly allocate the economic effect of divorce.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calculated pursuant to Civil Rule 90.3(a), which sets support as the non-custodial parent's adjusted annual income multiplied by the applicable percentage for the number of children. Civil Rule 90.3(f) defines primary physical custody for purposes of applying the correct child support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assess the best interests of the children in any custody determination, and has held that property division must reflect an equitable balancing of the parties' respective circumstances. Schmitz v. Schmitz, 88 P.3d 1116 (Alaska 2004); Fernau v. Rowdon, 42 P.3d 1047 (Alaska 2002).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CUSTODY ARRANGEMENT IS IN THE BEST INTERESTS OF THE CHILDREN AND SHOULD BE APPROVED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paramount consideration in any child custody determination is the best interests of the children. Under AS 25.24.160(a)(1), the court may provide for the nurture and education of the children as may be just and proper. Elena has served as the primary caregiver for both children throughout the marriage. The children, ages six and nine, are enrolled in school in the Eagle River area where Elena resides and intends to continue residing. Stability and continuity of environment are essential to their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child's established living environment and the quality of the relationship with each parent are central factors in custody determinations. Schmitz v. Schmitz, 88 P.3d 1116 (Alaska 2004). Elena's continuous role as primary caregiver, the children's established school placement, and the children's need for stable daily routines during the school year all support placing primary physical custody with Elena.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90.3(f)(2), a parent has primary physical custody for purposes of child support calculations when the children reside with the other parent for less than thirty percent of the year. The custody schedule proposed here, under which Michael exercises alternating weekends plus extended summer and school-break parenting time, may result in Michael having the children between approximately twenty-five and thirty percent of the year depending on the specific schedule ultimately ordered. The court should confirm the applicable custody category at the time of entry of the final decree so that child support is properly calculated under Civil Rule 90.3(a) or Civil Rule 90.3(f), as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joint legal custody arrangement is equally consistent with the children's best interests. Sharing major decisions about health, education, and well-being ensures that both parents remain meaningfully involved in the children's lives despite the physical custody arrangement. The Alaska Supreme Court has recognized that joint legal custody can serve children's interests even when one parent holds primary physical custody. Helen S.K. v. Samuel M.K., 288 P.3d 463 (Alaska 2012).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PURSUANT TO CIVIL RULE 90.3 BASED ON MICHAEL'S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agree that child support shall be calculated in accordance with Civil Rule 90.3. That rule provides that child support in a primary physical custody case equals the non-custodial parent's adjusted annual income multiplied by the applicable percentage based on the number of children. Civil Rule 90.3(a). For two children, that percentage is twenty-seven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gross annual income is approximately $95,000. His adjusted annual income under Civil Rule 90.3(a)(1) is calculated by subtracting mandatory deductions, including federal income tax, Social Security and Medicare taxes, and other qualifying deductions set forth in the rule, from his total income. After applying the applicable statutory deductions, Michael's adjusted annual income will be determined by the court. At twenty-seven percent of adjusted annual income, the resulting child support obligation will provide meaningful support for both children while remaining consistent with Michael's actual ability to pay.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the Rule 90.3 formula must be applied rigorously and that a parent's earning capacity, including actual income, work history, and professional qualifications, forms the foundation of the child support calculation. Sharon Thompson v. Everett Thompson, 454 P.3d 981 (Alaska 2019); Faulkner v. Goldfuss, 46 P.3d 993 (Alaska 2002). Michael is an employed petroleum technician with a consistent and documented annual income. There is no basis for deviating from the guideline amount.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base child support obligation, Elena requests that Michael contribute to unreimbursed medical expenses and work-related childcare expenses on a pro-rata income basis. This approach is consistent with Civil Rule 90.3(a)(1)(E), which allows work-related child care expenses to be deducted from a parent's income in calculating adjusted annual income, and with the broader framework of Civil Rule 90.3 ensuring that child-related costs are shared in proportion to each parent's financial capacity. Given that Michael earns approximately $95,000 and Elena earns approximately $38,000, Michael's pro-rata share of the combined income is approximately seventy-one percent, making his proportionate contribution to these additional costs equitable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PROPERTY MUST BE DIVIDED EQUITABLY BASED ON THE FACTORS SET FORTH IN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must divide property acquired during the marriage in a just manner, taking into account the factors enumerated in the statute. Those factors include the length of the marriage, the age and health of the parties, the earning capacity of each spouse, the financial condition of each party, the desirability of awarding the family home to the party with primary physical custody, the circumstances and necessities of each party, the time and manner of acquisition of the property, and the income-producing capacity of the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marital estate consists of the Eagle River family home with a $220,000 mortgage, two vehicles, a joint savings account, and Michael's PERS retirement account accumulated during the marriage. The division of this estate must fairly allocate the economic effect of dissolution consistent with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25.24.160(a)(4)(F) specifically identifies the desirability of awarding the family home, or the right to live in it for a reasonable period, to the party who has primary physical custody of the children. Elena is the proposed primary physical custodian. Both children attend school in the Eagle River community. Awarding Elena the right to remain in the family home during the children's minority, or awarding her the home outright subject to assumption of the associated mortgage obligation, serves both this statutory preference and the children's need for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that awarding the family home to the primary custodial parent is appropriate where doing so serves the children's continuity of environment and the equities otherwise support such an award. Fernau v. Rowdon, 42 P.3d 1047 (Alaska 2002). Given Elena's role as primary caregiver and the children's established ties to the Eagle River community, the family home should be awarded to Elena, with the parties' equity in the home considered in the overall balancing of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Michael's PERS Retirement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PERS retirement account accumulated during the marriage constitutes marital property subject to division under AS 25.24.160(a)(4). AS 25.24.160(a)(1) expressly contemplates that the court may provide for the payment of amounts including retirement benefits in addressing the parties' respective contributions and needs. AS 25.24.160(b) further addresses the distribution of retirement benefits through a qualified domestic relations order where applicable.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retirement benefits accumulated during a marriage are a significant component of the marital estate and must be valued and divided consistent with the statutory equitable factors. Sharon Thompson v. Everett Thompson, 454 P.3d 981 (Alaska 2019). Given the length of the marriage, the parties' disparate incomes, and Elena's reduced earning capacity stemming from her years of primary caregiving, Elena is entitled to an equitable share of the marital portion of Michael's PERS account. The precise division should be accomplished through a qualified domestic relations order as required by AS 25.24.160(b).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Vehicles and Joint Savings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vehicles and joint savings account should be divided equitably between the parties. Elena requires reliable transportation to fulfill her employment responsibilities and to transport the children to school, medical appointments, and other activities. The court should award each party one vehicle, with any difference in value between the vehicles treated as an offset within the overall property division. The joint savings account should be divided based on the overall equities of the property settlement, taking into account any offsetting adjustments made with respect to the family home, retirement account, and debt allocation.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Shared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accumulated approximately $18,000 in shared credit card debt that remains unallocated. Under AS 25.24.160(a)(4), the allocation of marital obligations is an element of the just division of the marital estate. The Alaska Supreme Court has recognized that equitable distribution of marital debt follows principles analogous to those governing property division, with courts considering the circumstances of each party, the nature of the obligations, and each party's ability to service the debt. Laughlin v. Laughlin, 229 P.3d 1002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significant income disparity between the parties, and the fact that the debt was incurred jointly during the marriage, the court should allocate the shared credit card debt proportionately to the parties' respective incomes or in conjunction with the overall property settlement, ensuring that Elena is not unduly burdened by obligations she cannot realistically service on her $38,000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DISSOLUTION PETITION MEETS THE STATUTORY REQUIREMENTS OF AS 25.24.200 AND AS 25.24.230.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 dissolution petition to be granted under AS 25.24.200(a), the parties must demonstrate, among other conditions, that incompatibility of temperament has caused the irremediable breakdown of the marriage, that agreements concerning child custody, child support, and visitation are just and in the children's best interests, and that the property and debt agreements fairly allocate the economic effect of dissolution. AS 25.24.230(a) requires the court to find that the spouses fully understand the nature and consequences of their action, that written agreements are fair and just and constitute the entire agreement, and that each spouse entered into the agreements voluntarily and free from coercion.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circumstances of this case satisfy each of these requirements. Michael's recurring extended absences and the parties' ongoing financial disputes have created an irremediable breakdown of the marriage. Elena's proposed arrangements for custody, child support, and property division reflect fair and considered positions that account for the statutory factors under AS 25.24.160(a)(2) and (4) as required by AS 25.24.200(e) and AS 25.24.230(a)(3). The petition should contain the specific information required by AS 25.24.210(e), including the parties' respective incomes, assets, liabilities, the terms of the custody agreement, and child support provisions.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petition involves minor children and one party is the primary caregiver, the court should apply the heightened scrutiny directed by AS 25.24.220(h) to ensure that the child custody and property agreements are truly just and in the children's best interests. Elena welcomes such scrutiny as the proposed arrangements reflect both the children's developmental needs and the economic realities of the parties'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Bergstrom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Approve the proposed primary physical custody arrangement placing the children with Elena during the school year, with Michael exercising alternating weekend visits and extended parenting time during summers and school breaks, and grant the parties joint legal custody for major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Calculate and order Michael's child support obligation pursuant to Civil Rule 90.3(a) based on his adjusted annual income of approximately $95,000, at the rate of twenty-seven percent applicable to two children, and further order that Michael contribute to unreimbursed medical and childcare expenses on a pro-rata income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Divide the marital estate in a just and equitable manner consistent with AS 25.24.160(a)(4), including awarding Elena the family home given her primary custodial role, distributing Michael's PERS retirement account through a qualified domestic relations order as contemplated by AS 25.24.160(b), assigning one vehicle to each party, dividing the joint savings account equitably, and allocating the $18,000 in shared credit card debt in a manner proportionate to the parties' respective incomes;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 such other relief as the court finds just and proper in furtherance of the best interests of the minor children and the equitable resolution of the parties' marital estate.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2026-08-16T18:33:13.775Z</dcterms:created>
  <dcterms:modified xsi:type="dcterms:W3CDTF">2026-08-16T18:33:13.775Z</dcterms:modified>
</cp:coreProperties>
</file>

<file path=docProps/custom.xml><?xml version="1.0" encoding="utf-8"?>
<Properties xmlns="http://schemas.openxmlformats.org/officeDocument/2006/custom-properties" xmlns:vt="http://schemas.openxmlformats.org/officeDocument/2006/docPropsVTypes"/>
</file>