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DIVORCE/DISSOLUTION FILING INVOLVING MINOR CHILDREN</w:t>
      </w:r>
    </w:p>
    <w:p>
      <w:pPr>
        <w:spacing w:after="0" w:before="0" w:line="240"/>
        <w:jc w:val="center"/>
      </w:pPr>
      <w:r>
        <w:rPr>
          <w:rFonts w:ascii="Times New Roman" w:cs="Times New Roman" w:eastAsia="Times New Roman" w:hAnsi="Times New Roman"/>
          <w:b w:val="false"/>
          <w:bCs w:val="false"/>
          <w:sz w:val="24"/>
          <w:szCs w:val="24"/>
        </w:rPr>
        <w:t xml:space="preserve">(doc-0026)</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Colby ("Petitioner") respectfully submits this brief in support of her petition for dissolution of marriage and proposed parenting plan. Ashley and Jennifer Colby were married in Anchorage, Alaska in 2015 and are the parents of two minor children, ages five and eight. The marriage has irretrievably broken down due to persistent financial conflict and irreconcilable differences in parenting approaches, and the parties have been unable to reach a negotiated resolution on custody, child support, or property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brief addresses three principal issues: (1) the appropriate physical custody arrangement for the parties' two minor children; (2) the proper calculation of Jennifer Colby's child support obligation under Alaska Civil Rule 90.3; and (3) the equitable division of the marital home, joint savings account, and shared vehicle debt under AS 25.24.160. Ashley respectfully requests that this Court enter a dissolution decree awarding her primary physical custody of the children, ordering child support consistent with Alaska's guidelines, and dividing the marital estate in a just and equitable manner as outlined herein.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Colby and Jennifer Colby were married in Anchorage, Alaska in 2015. The marriage produced two minor children: a child currently age eight and a child currently age five. Both children have been raised in the Eagle River community, where they attend school and participate in extracurricular activities. Over the course of the marriage, persistent disagreements over finances and fundamentally incompatible approaches to child-rearing have caused the irretrievable breakdown of the marriage. Ashley filed a petition for dissolution in the Superior Court, Third Judicial District, pursuant to AS 25.24.200.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proposes a primary physical custody arrangement under which the children reside with her during the school week, with Jennifer exercising parenting time on alternating weekends and one weekday evening per week. Both parties agree to share joint legal custody. Jennifer, employed as a petroleum engineer, earns a substantially higher income than Ashley, and Ashley requests that child support be calculated in accordance with Alaska Civil Rule 90.3 based on Jennifer's adjusted annual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marital estate consists of the parties' home in Eagle River, which carries an outstanding mortgage balance of approximately $310,000 against a current estimated market value of approximately $375,000, yielding net equity of approximately $65,000. The parties also hold a joint savings account containing approximately $42,000 and a shared vehicle loan with an outstanding balance of approximately $18,000. The parties dispute both the custody schedule and the division of these marital assets and liabilities.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Jennifer contests the proposed parenting plan and instead requests a week-on, week-off shared physical custody schedule, asserting that an equal residential arrangement better serves the children's well-being and reflects her historically active involvement in their daily care.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have broad equitable authority to resolve issues of custody, child support, and property division in dissolution proceedings. AS 25.24.160 authorizes the court to provide for child support, spousal maintenance, and the division of marital property in a manner that is "just and proper" and that "fairly allocate[s] the economic effect of divorce" by considering an enumerated list of factors. AS 25.24.200 sets forth the conditions governing joint petitions for dissolution, and requires that agreements on custody and property division be fair, just, and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physical custody, where parents dispute a shared versus primary custody arrangement, the court must consider the factors enumerated in AS 25.20.090, including the needs of the child, the stability of the home environment offered by each parent, the child's continuity in the community, and any evidence bearing on domestic circumstances and parental cooperation. The Alaska Supreme Court has held that the trial court must make individualized findings based on these statutory factors. Schmitz v. Schmitz, 88 P.3d 1116 (Alaska 2004).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in a primary physical custody arrangement is governed by Civil Rule 90.3(a), which sets the award as a percentage of the non-custodial parent's adjusted annual income: twenty percent for one child and twenty-seven percent for two children. Civil Rule 90.3(f)(2) defines primary physical custody as existing when the children reside with the other parent for less than thirty percent of the year. Shared physical custody, as defined in Civil Rule 90.3(f)(1), requires that the children reside with the parent claiming that status for at least thirty but no more than seventy percent of the year. The distinction between primary and shared custody has significant consequences for the child support calculation under Civil Rule 90.3(b).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Property division is governed by AS 25.24.160(a)(4), which directs the court to divide marital property "in a just manner" based on numerous factors including the length of the marriage, the earning capacity of the parties, the financial condition of each party, and the desirability of awarding the family home to the party with primary physical custody of the children. The Alaska Supreme Court has consistently held that the trial court retains broad discretion in dividing the marital estate, and will not disturb a property division unless it is clearly unjust. Partridge v. Partridge, 239 P.3d 680 (Alaska 2010).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THE PROPOSED PRIMARY PHYSICAL CUSTODY ARRANGEMENT SERVES THE CHILDREN'S BEST INTERESTS UNDER AS 25.20.090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central question in any custody dispute is the best interests of the children. Under AS 25.20.090, the court must evaluate a range of factors when determining whether to award shared custody, including the children's needs, the stability of each parent's home environment, the children's educational continuity, the advantages of keeping the children in their current community, and each parent's willingness and ability to facilitate the other parent's relationship with the children. The Alaska Supreme Court has emphasized that these factors must be evaluated in light of the particular facts of each case, and that custody arrangements must serve the children's actual developmental and emotional needs. Schmitz v. Schmitz, 88 P.3d 1116 (Alaska 2004).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Here, the children are ages five and eight, both enrolled in the Eagle River school community. The eight-year-old in particular is at a critical developmental stage where academic consistency and the stability of a predictable weekly routine are paramount. A primary physical custody arrangement, in which the children reside with Ashley during the school week, best protects the children's educational continuity and daily stability. Under Ashley's proposed plan, Jennifer retains meaningful, regular contact through alternating weekends and a weekly evening visit, preserving the children's bond with both parents without subjecting them to the logistical disruptions of a week-on, week-off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Jennifer's request for a week-on, week-off arrangement, while reflecting her desire for equal residential time, does not automatically serve the children's best interests. AS 25.20.090(3) directs the court to assess the stability of the home environment likely to be offered by each parent. Given the ongoing conflict between the parties that precipitated this dissolution, a schedule requiring weekly transitions may expose the children to repeated disruptions and the stress of frequent environmental changes. The five-year-old child, in particular, is at an age at which attachment and routine are critical to healthy development, and the court should weigh this factor heavily.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25.20.090(6) requires the court to consider the optimal time each parent will spend with the children, including the feasibility of travel between the parents, special needs unique to each child, and the willingness and ability of each parent to facilitate the other's relationship with the children. Jennifer's employment as a petroleum engineer may involve irregular work schedules or travel demands that are less compatible with the rigid alternating-week structure she proposes. Ashley's proposed schedule accommodates Jennifer's parenting role while providing the children with a stable residential anchor during the school week.</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25.20.090(5) also directs the court to consider the advantages of keeping the children in the community where they presently reside. Both children are embedded in the Eagle River community, and maintaining their school enrollment, peer relationships, and community ties argues in favor of a schedule that does not require the children to manage dual primary residences. Ashley's proposed primary custody arrangement achieves this goal.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all of these reasons, the proposed primary physical custody arrangement, with Jennifer exercising meaningful parenting time on alternating weekends and one weekly evening, best serves the children's needs under AS 25.20.090 and should be adopted by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JENNIFER'S CHILD SUPPORT OBLIGATION SHOULD BE CALCULATED UNDER CIVIL RULE 90.3(a) BASED ON HER ADJUSTED ANNUAL INCOME AS A PETROLEUM ENGINEER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Ashley proposes primary physical custody as defined by Civil Rule 90.3(f)(2), Jennifer's child support obligation must be calculated under Civil Rule 90.3(a). Under that provision, the annual child support award equals the non-custodial parent's adjusted annual income multiplied by the applicable percentage: twenty percent for one child and twenty-seven percent for two children. For two children, Jennifer's obligation would equal twenty-seven percent of her adjusted annual income as calculated under the deductions specified in Civil Rule 90.3(a)(1).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90.3(a)(1) defines adjusted annual income as the parent's total income from all sources minus mandatory deductions such as federal, state, and local income tax, Social Security and Medicare taxes, mandatory union dues, and mandatory retirement contributions, as well as permissible deductions for voluntary retirement contributions within specified limits, health insurance premiums for the parent only within specified limits, and work-related child care expenses for the children who are the subject of the support order. Jennifer's income as a petroleum engineer is substantial and will govern the calculation. Ashley respectfully requests that this Court order Jennifer to provide complete documentation of her income and permissible deductions so that the Court may accurately determine her adjusted annual income and set support accordingly.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this Court were instead to accept Jennifer's proposal of a week-on, week-off shared physical custody arrangement, child support would be calculated under Civil Rule 90.3(b)(1), which uses a more complex formula that partially offsets each parent's theoretical obligation against the other and multiplies the difference by a factor of 1.5. Civil Rule 90.3(f)(1) defines shared physical custody as existing when children reside with a parent for at least thirty but no more than seventy percent of the year. The shared custody formula would reduce Jennifer's net child support obligation compared to a primary custody calculation, which would be inequitable given the parties' significant income disparity and Ashley's status as the primary residential parent. The Alaska Supreme Court has made clear that the paramount focus of child support is the welfare of the children, not the financial interests of the parents, and that the support formula is intended to ensure children are adequately provided for across all their needs. Ruppe v. Ruppe, 358 P.3d 1284 (Alaska 2015).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90.3(a)(4) also authorizes the court to calculate child support based on a parent's potential income where that parent is voluntarily and unreasonably underemployed. While Ashley does not allege that Jennifer is currently underemployed, this provision confirms that the court must assess each parent's true earning capacity in setting support. Ashley's income, which is lower than Jennifer's, and her status as the primary residential parent justify the primary custody support calculation under Civil Rule 90.3(a).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MARITAL ESTATE SHOULD BE DIVIDED EQUITABLY UNDER AS 25.24.160, WITH PARTICULAR ATTENTION TO THE FAMILY HOME AND THE PARTIES' FINANCIAL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25.24.160(a)(4) requires the court to divide marital property "in a just manner" based on enumerated factors including the length of the marriage, the earning capacity of each party, the financial condition of each party including availability of health insurance, whether there has been unreasonable depletion of marital assets, the desirability of awarding the family home to the party with primary physical custody, the circumstances and necessities of each party, and the income-producing capacity and value of the property at the time of division. The Alaska Supreme Court has recognized that the trial court must make individualized findings on these statutory factors and exercise its broad discretion to achieve a just result. Brown v. Brown, 914 P.2d 206 (Alaska 1996); Green v. Green, 29 P.3d 854 (Alaska 2001).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Family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marital home in Eagle River has an estimated market value of approximately $375,000, subject to an outstanding mortgage of approximately $310,000, yielding net equity of approximately $65,000. Under AS 25.24.160(a)(4)(F), the court is directed to consider the desirability of awarding the family home, or the right to live in it for a reasonable period, to the party who has primary physical custody of the children. Where, as here, Ashley is the proposed primary residential parent of two school-age children embedded in the Eagle River community, this factor strongly supports awarding Ashley the right to remain in the family home, at minimum for a reasonable period sufficient to allow the children to complete their schooling without displacement.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confirmed in Sharon Thompson v. Everett Thompson, 454 P.3d 981 (Alaska 2019) that the family home may be treated as separate or marital property depending on its acquisition history, and that the court must consider each party's earning capacity and financial circumstances in allocating the home and its associated equity. Here, the home was acquired during the marriage and is unquestionably marital property. Ashley requests that the Court award her the family home, with the equity to be accounted for in the overall property division. Jennifer's higher income as a petroleum engineer makes her better positioned to establish alternative housing than Ashley, who would be the primary caregiver for two young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also take into account the factors under AS 25.24.160(a)(4)(C) and (G), namely the earning capacity and circumstances and necessities of each party. Ashley's comparatively lower income and her primary custodial role make her need for stable housing more acute. An equitable division does not require an equal numerical split where the statutory factors support a different result. Fernau v. Rowdon, 42 P.3d 1047 (Alaska 2002) (court may award a greater percentage of the marital estate to the party with lower earning capacity and greater financial need). If the home is awarded to Ashley, Jennifer's share of the equity may be satisfied through an offset from other marital assets or through a deferred buyout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Joint Savings Account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joint savings account contains approximately $42,000. As a marital asset accumulated during the marriage, this account is subject to equitable division under AS 25.24.160(a)(4). Ashley requests an equal division of this account, resulting in each party receiving approximately $21,000. This equal split is appropriate given that the savings account represents liquid funds without the complications of an underlying debt, and an equal division reflects the parties' joint contributions to accumulating this asset over the course of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however, the Court determines that awarding Ashley the family home results in a disproportionate share of the net marital estate, the Court may allocate a larger portion of the savings account to Jennifer as an offset, so long as the overall division fairly allocates the economic effect of dissolution as required by AS 25.24.160(a)(4). The Court has discretion to fashion a division that achieves overall equity across all assets and liabilities rather than applying a rigid equal-split rule to each item individually. Partridge v. Partridge, 239 P.3d 680 (Alaska 2010).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Shared Vehicle Loan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have a shared vehicle loan with an outstanding balance of approximately $18,000. This joint debt is a marital liability subject to allocation by the Court. Ashley requests that the Court assign responsibility for this debt to the party who retains the vehicle, and that the allocation of this liability be factored into the overall property division. If Jennifer retains the vehicle, she should bear responsibility for the loan balance. If Ashley retains the vehicle, the loan balance should be reflected as a liability offsetting her share of the marital estate, with any resulting imbalance adjusted through the savings account division or other means available to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statutory factors under AS 25.24.160(a)(4) support a holistic approach to asset and debt allocation that takes into account each party's financial condition and ability to service debt. Jennifer's higher income renders her better positioned to absorb debt service obligations where the division of assets and liabilities is otherwise equitable.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THE OVERALL PROPERTY DIVISION MUST FAIRLY ALLOCATE THE ECONOMIC EFFECT OF DISSOLUTION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25.24.160(a)(4) requires that the division of property "fairly allocate the economic effect of divorce" based on the enumerated factors. Alaska courts have construed this provision to require individualized factual findings and a reasoned balancing of all relevant considerations, not mechanical equal division. Brown v. Brown, 914 P.2d 206 (Alaska 1996); Green v. Green, 29 P.3d 854 (Alaska 2001). The length of this marriage (approximately ten years at the time of filing), the parties' differential earning capacity, Ashley's primary custodial role, and the children's need for residential stability all support the division Ashley proposes.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have also recognized that the preference in Alaska is to resolve post-dissolution financial needs through property division rather than spousal maintenance where possible. Ruppe v. Ruppe, 358 P.3d 1284 (Alaska 2015); Fernau v. Rowdon, 42 P.3d 1047 (Alaska 2002). Ashley does not seek spousal maintenance at this time, but requests that the property division be structured in a manner that fairly accounts for the economic disparity between the parties and provides Ashley with the financial foundation necessary to support herself and the two children as the primary residential parent.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Ashley Colby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Enter a dissolution decree finding that the marriage has irretrievably broken down and granting the petition for dissolution;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Award Ashley Colby primary physical custody of the parties' two minor children, with Jennifer Colby exercising parenting time on alternating weekends and one weekday evening per week, and with both parties sharing joint legal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Calculate Jennifer Colby's child support obligation under Civil Rule 90.3(a) based on her adjusted annual income as a petroleum engineer, at twenty-seven percent of her adjusted annual income for two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Award Ashley Colby the marital home in Eagle River, with the net equity of approximately $65,000 accounted for in the overall property division, in light of her status as the primary residential parent of two school-age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Divide the joint savings account equally, subject to any offset required to equalize the overall property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Allocate the vehicle loan balance to the party who retains the vehicle, with appropriate adjustment to the overall property division;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(7) Grant such other and further relief as this Court deems just and equitable under the circumstances.</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2026-08-16T18:34:47.464Z</dcterms:created>
  <dcterms:modified xsi:type="dcterms:W3CDTF">2026-08-16T18:34:47.464Z</dcterms:modified>
</cp:coreProperties>
</file>

<file path=docProps/custom.xml><?xml version="1.0" encoding="utf-8"?>
<Properties xmlns="http://schemas.openxmlformats.org/officeDocument/2006/custom-properties" xmlns:vt="http://schemas.openxmlformats.org/officeDocument/2006/docPropsVTypes"/>
</file>