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40"/>
        <w:jc w:val="center"/>
      </w:pPr>
      <w:r>
        <w:rPr>
          <w:rFonts w:ascii="Times New Roman" w:cs="Times New Roman" w:eastAsia="Times New Roman" w:hAnsi="Times New Roman"/>
          <w:b/>
          <w:bCs/>
          <w:sz w:val="24"/>
          <w:szCs w:val="24"/>
        </w:rPr>
        <w:t xml:space="preserve">IN THE SUPERIOR COURT FOR THE STATE OF ALASKA</w:t>
      </w:r>
    </w:p>
    <w:p>
      <w:pPr>
        <w:spacing w:after="0" w:before="0" w:line="240"/>
        <w:jc w:val="center"/>
      </w:pPr>
      <w:r>
        <w:rPr>
          <w:rFonts w:ascii="Times New Roman" w:cs="Times New Roman" w:eastAsia="Times New Roman" w:hAnsi="Times New Roman"/>
          <w:b/>
          <w:bCs/>
          <w:sz w:val="24"/>
          <w:szCs w:val="24"/>
        </w:rPr>
        <w:t xml:space="preserve">THIRD JUDICIAL DISTRICT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val="false"/>
          <w:bCs w:val="false"/>
          <w:sz w:val="24"/>
          <w:szCs w:val="24"/>
        </w:rPr>
        <w:t xml:space="preserve">PETITIONER, Petitioner, vs. RESPONDENT, Respondent.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bCs/>
          <w:sz w:val="24"/>
          <w:szCs w:val="24"/>
        </w:rPr>
        <w:t xml:space="preserve">DIVORCE/DISSOLUTION FILING INVOLVING MINOR CHILDREN</w:t>
      </w:r>
    </w:p>
    <w:p>
      <w:pPr>
        <w:spacing w:after="0" w:before="0" w:line="240"/>
        <w:jc w:val="center"/>
      </w:pPr>
      <w:r>
        <w:rPr>
          <w:rFonts w:ascii="Times New Roman" w:cs="Times New Roman" w:eastAsia="Times New Roman" w:hAnsi="Times New Roman"/>
          <w:b w:val="false"/>
          <w:bCs w:val="false"/>
          <w:sz w:val="24"/>
          <w:szCs w:val="24"/>
        </w:rPr>
        <w:t xml:space="preserve">(doc-0027)</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 INTRODUCTION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This brief is submitted on behalf of Sarah Whitfield, Respondent, in the above-captioned dissolution of marriage proceeding. The parties were married in Anchorage, Alaska in 2015 and have two minor children, ages five and eight. The central disputes before this Court concern the disposition of the family home and the appropriate structure for child support and custody. Sarah respectfully requests that the Court award her the right to remain in the family home with the children for a minimum of two years, defer any sale or buyout negotiation until that period concludes, and enter a child support order consistent with Civil Rule 90.3. The requested relief is firmly grounded in Alaska statutory authority, governing court rules, and controlling case law from the Alaska Supreme Court.</w:t>
      </w:r>
    </w:p>
    <w:p>
      <w:pPr>
        <w:spacing w:line="240"/>
      </w:pPr>
      <w:r>
        <w:rPr>
          <w:rFonts w:ascii="Times New Roman" w:cs="Times New Roman" w:eastAsia="Times New Roman" w:hAnsi="Times New Roman"/>
          <w:b w:val="false"/>
          <w:bCs w:val="false"/>
          <w:sz w:val="24"/>
          <w:szCs w:val="24"/>
        </w:rPr>
        <w:t xml:space="preserve"/>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 STATEMENT OF FACTS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Tomas Whitfield and Sarah Whitfield were married in Anchorage, Alaska in 2015. The marriage produced two minor children, currently ages five and eight. Throughout the marriage, Tomas worked extended rotations on the North Slope, which required him to be absent from the family home for substantial and recurring periods. During those periods of absence, Sarah served as the sole caregiver for both children, managing their daily educational, medical, and developmental needs without regular assistance from Tomas.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Over the past two years, the marriage deteriorated due to ongoing financial conflict and irreconcilable differences arising from the demands of Tomas's work schedule and the resulting strain on the family unit. The parties now seek to formalize the dissolution of their marriage and to resolve the outstanding issues of custody, child support, and property division.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parties have reached a tentative agreement that Sarah will retain primary physical custody of both minor children. Tomas will exercise parenting time every other weekend, during his off-rotation periods, and pursuant to a structured holiday schedule to be incorporated into the final parenting plan. Tomas has proposed paying $1,800 per month in child support, which he represents is consistent with Alaska Civil Rule 90.3 guidelines.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marital estate consists of the family home in Anchorage, valued at approximately $420,000 with an outstanding mortgage balance of approximately $280,000, leaving net equity of approximately $140,000. The estate also includes two vehicles, a joint savings account holding approximately $34,000, and approximately $22,000 in shared credit card debt accumulated during a period of reduced household income. Tomas proposes an immediate sale of the family home and an equal division of the net equity. Sarah requests the right to remain in the family home with the children for a minimum of two years to preserve stability for the children's education and well-being, with a deferred sale or buyout negotiation to occur at the conclusion of that period.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parties have not yet completed mandatory initial financial disclosures as required by Civil Rule 26.1(b), and the property division table required by Civil Rule 90.1(e) has not yet been filed. Full compliance with those disclosure obligations is necessary before any property division order can be entered.</w:t>
      </w:r>
    </w:p>
    <w:p>
      <w:pPr>
        <w:spacing w:line="240"/>
      </w:pPr>
      <w:r>
        <w:rPr>
          <w:rFonts w:ascii="Times New Roman" w:cs="Times New Roman" w:eastAsia="Times New Roman" w:hAnsi="Times New Roman"/>
          <w:b w:val="false"/>
          <w:bCs w:val="false"/>
          <w:sz w:val="24"/>
          <w:szCs w:val="24"/>
        </w:rPr>
        <w:t xml:space="preserve"/>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III. LEGAL STANDARD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In any divorce proceeding, the superior court is vested with broad discretion to divide marital property in a just manner, taking into account the statutory factors set forth in AS 25.24.160. The Alaska Supreme Court has consistently recognized that the trial court's discretion in allocating marital assets is broad, and that decisions regarding the family home occupy a place of particular importance when minor children are involved. Hanlon v. Hanlon, 871 P.2d 229 (Alaska 1994); Odom v. Odom, 141 P.3d 324 (Alaska 2006).</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Child support is governed by Civil Rule 90.3(a), which establishes guidelines for calculating support based on the adjusted annual income of the non-custodial parent. Compliance with Civil Rule 90.3 is mandatory absent extraordinary circumstances, and any deviation from the guideline amount must be supported by findings on the record. Sandberg v. Sandberg, 322 P.3d 879 (Alaska 2014).</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Property division must fairly allocate the economic effect of divorce based on a consideration of the statutory factors enumerated in AS 25.24.160(a)(4), including the length of the marriage, the age and health of the parties, the earning capacity of each party, the financial condition of the parties, the circumstances and necessities of each party, and the desirability of awarding the family home or the right to remain in it for a reasonable period to the party with primary physical custody of the children. AS 25.24.160(a)(4)(F).</w:t>
      </w:r>
    </w:p>
    <w:p>
      <w:pPr>
        <w:spacing w:line="240"/>
      </w:pPr>
      <w:r>
        <w:rPr>
          <w:rFonts w:ascii="Times New Roman" w:cs="Times New Roman" w:eastAsia="Times New Roman" w:hAnsi="Times New Roman"/>
          <w:b w:val="false"/>
          <w:bCs w:val="false"/>
          <w:sz w:val="24"/>
          <w:szCs w:val="24"/>
        </w:rPr>
        <w:t xml:space="preserve"/>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IV. ARGUMENT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 Sarah Is Entitled to the Right to Remain in the Family Home for a Reasonable Period Because She Will Have Primary Physical Custody of the Minor Children.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Alaska Statute 25.24.160(a)(4) directs the Court to consider, among the statutory factors for property division, "the desirability of awarding the family home, or the right to live in it for a reasonable period of time, to the party who has primary physical custody of children." This provision is not discretionary in the sense of permitting a court to ignore the inquiry; the Alaska Supreme Court has held that a trial court commits reversible error when it fails to address the second component of this provision, which concerns the right to remain in the home for a reasonable period even when outright award of the home is not ordered. Hanlon v. Hanlon, 871 P.2d 229 (Alaska 1994).</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parties have tentatively agreed that Sarah will have primary physical custody of both minor children, ages five and eight. Both children are currently enrolled in or approaching enrollment in Anchorage schools. The family home is the only residence either child has known during their formative years. Uprooting both children from that home immediately upon dissolution would impose a significant disruption to their educational continuity and emotional stability at a time when their lives are already undergoing substantial change as a result of the divorce.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 affirmed an award of the family home to the custodial parent in Odom v. Odom, 141 P.3d 324 (Alaska 2006), emphasizing that the children had lived in the family home their entire lives and that the trial court acted well within its discretion in making that award. While Sarah does not at this stage demand the permanent award of the home to her, she does request the right to remain in the home for a minimum of two years, with a deferred sale or buyout arrangement to be negotiated at that time. This approach serves the children's best interests while preserving Tomas's financial stake in the equity, which will remain intact and subject to court order at the conclusion of the deferred period.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Court in Silvan v. Alcina, 105 P.3d 117 (Alaska 2005), affirmed a trial court's order that the family home be sold and that the custodial parent receive a proportionate share of its value, while also ordering interim monthly payments to compensate the custodial parent during the transition period. The flexibility inherent in that approach underscores that the Court has wide latitude to craft property remedies that protect the children's stability while preserving both parties' economic interests. A two-year deferred sale or buyout arrangement is precisely the kind of equitable remedy contemplated by AS 25.24.160(a)(4)(F) and sanctioned by Alaska Supreme Court precedent.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factors set forth in AS 25.24.160(a)(4) further support Sarah's position. The parties have been married since 2015. Sarah has been the primary caregiver throughout the marriage due to Tomas's extended North Slope rotations. Her earning capacity has been affected by that caregiving role. The financial condition of the parties includes approximately $22,000 in joint credit card debt, which will affect both parties' immediate liquidity. The family home is the most significant asset in the marital estate, with net equity of approximately $140,000. Forcing an immediate sale would deprive the children of their stable residence without a corresponding benefit to Tomas that could not equally be achieved through a deferred arrangement. The circumstances and necessities of Sarah and the children, as a statutory factor under AS 25.24.160(a)(4)(G), weigh decisively in favor of a deferred sale or buyout.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Furthermore, the Court in Hooper v. Hooper, 188 P.3d 681 (Alaska 2008), recognized that the interplay between custody decisions and property division is significant, and that the statutory factors under AS 25.24.160(a)(4) must be considered together. When a court awards primary physical custody to one parent, it is the clear intent of AS 25.24.160(a)(4)(F) that the residential stability of the children be weighted heavily in the property division calculus.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Court should therefore deny Tomas's request for an immediate sale and instead enter an order permitting Sarah to remain in the family home for a minimum of two years, with the parties to negotiate a buyout arrangement or deferred sale at the end of that period. In the event the parties cannot agree on a buyout price or terms at that time, the Court should retain jurisdiction to order a sale and divide the proceeds in a just manner consistent with the factors set forth in AS 25.24.160(a)(4).</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B. The Proposed Child Support Amount Must Be Verified Against Civil Rule 90.3(a) Guidelines Before the Court Enters a Final Order.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Tomas has proposed paying $1,800 per month in child support, which he represents is consistent with Civil Rule 90.3(a) guidelines. The Court may not simply accept a represented figure without verifying that it is, in fact, consistent with the applicable guidelines. Civil Rule 90.3(a) requires that child support for primary physical custody cases be calculated as an amount equal to the non-custodial parent's adjusted annual income multiplied by the applicable percentage: 27% for two children. Civil Rule 90.3(a)(2)(B).</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adjusted annual income calculation under Civil Rule 90.3(a)(1) requires deduction of mandatory items including federal, state, and local income taxes, Social Security and Medicare taxes, mandatory union dues, and mandatory retirement contributions, as well as voluntary retirement contributions up to 7.5% of total income, work-related child care expenses for the subject children, and health insurance premiums paid by the parent for the parent only, subject to a cap of 10% of total income.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Given Tomas's employment on the North Slope, his income is likely subject to specific deductions and benefits that must be accurately reflected in the Rule 90.3(a)(1) calculation. The Court should require Tomas to provide full financial disclosure pursuant to Civil Rule 26.1(b) before any child support order is entered. Civil Rule 26.1(b)(1)(J) requires production of pay stubs and proof of income from all sources for the past two months, and Civil Rule 26.1(b)(1)(I) requires production of federal tax returns for the past three years. Without these disclosures, neither Sarah nor the Court can verify whether the proposed $1,800 monthly figure accurately reflects the Civil Rule 90.3(a) calculation.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Sarah does not concede at this stage that $1,800 per month is the correct figure. She reserves the right to challenge that figure after full financial disclosure has been completed. The Court should condition entry of any child support order on compliance with Civil Rule 26.1(b) disclosure requirements and independent verification of the Rule 90.3(a) calculation.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Additionally, if the evidence shows that Tomas is voluntarily underemployed or underreporting income, the Court has authority under Civil Rule 90.3(a)(4) to impute potential income to him based on his assets, earning history, job skills, educational attainment, and prevailing earnings levels in the local community. While Sarah does not presently allege deliberate underreporting, she reserves that argument pending receipt of complete financial disclosures.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 The Court Must Require Full Financial Disclosure Before Entering Any Property Division Order.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Civil Rule 90.1(e) requires each party to file and serve a property division table at least five days before trial, listing all assets and liabilities, their characterization as marital or separate property, their values, and each party's proposed disposition. Civil Rule 26.1(b) requires initial financial disclosures to be made within 45 days after the filing of the answer, including real property information, financial account records, pension and retirement plan releases, debt documentation, and income verification.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parties have not yet completed these mandatory disclosures. The values assigned to the family home, the vehicles, and the savings account are approximations. The credit card debt has been described generally but not documented by account statements as required by Civil Rule 26.1(b)(1)(F). No formal appraisal of the family home has been disclosed, and no tax assessment or broker's opinion has been provided as required by Civil Rule 26.1(b)(1)(A).</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 has recognized that a fair and just property division under AS 25.24.160 depends on an accurate and complete record of the marital estate. Barnett v. Barnett, 238 P.3d 594 (Alaska 2010). Entry of a final property division order based on approximate figures and incomplete disclosures would risk an unjust outcome for either party. Sarah respectfully requests that the Court require full compliance with Civil Rule 26.1(b) and Civil Rule 90.1(e) before scheduling any hearing on final property division.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D. Any Agreement Regarding Custody and Child Support Is Subject to Court Review for the Best Interests of the Children.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parties' tentative agreement regarding primary physical custody and parenting time is subject to court approval. Under AS 25.24.160(a)(1), the Court may provide for child support in a just and proper amount to contribute toward the nurture and education of the children. The Court is not bound by the parties' proposed arrangement and must independently assess whether the custody and support terms are in the best interests of the minor children.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In reviewing the parties' agreement, the Court should consider the history of Sarah as the primary caregiver during Tomas's extended North Slope absences. That history is a significant factor in confirming that primary physical custody with Sarah is in the children's best interests. Tomas's proposed parenting time, consisting of every other weekend and off-rotation periods, should be structured in a manner that accounts for the irregular nature of his work schedule and provides the children with predictable and consistent contact with both parents.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 has recognized in Cox v. Floreske, 288 P.3d 1289 (Alaska 2012), that the trial court's discretion in matters of custody and property is broad, and that agreements reached by the parties are subject to the court's independent review to ensure fairness and compliance with applicable statutory standards. Sarah supports Tomas's involvement in the children's lives and does not oppose the proposed parenting time structure in principle, but she requests that any final parenting plan be reduced to a detailed written order that specifies parenting time during Tomas's off-rotation periods, a holiday schedule, and a procedure for addressing schedule modifications when Tomas's work rotation changes.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E. Sarah's Request for Deferred Property Division Is Consistent with Alaska Law Governing Reservation of Property Issues.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To the extent the Court treats the deferred sale or buyout arrangement as a reservation of the property division issue, the Court should note that AS 25.24.155 governs the circumstances under which a court may delay or reserve a property division decision. Under AS 25.24.155(a), the Court may reserve the issue of property division if each party expressly agrees on the record, or if the moving party shows good cause and the Court finds that the interests of the opposing party will not be jeopardized by the delay.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Sarah's request is not, strictly speaking, a request to reserve the property division issue; she requests that the Court enter a final order now that grants her the right to remain in the home for two years and defers only the buyout or sale mechanism to a date certain. This approach resolves the property division issue as to all other assets immediately, while providing a structured framework for the family home. It avoids the statutory concerns raised by AS 25.24.155(b), because Sarah's proposal does not put Tomas's interest substantially at risk: his equity stake in the family home is preserved, the home will be maintained by Sarah throughout the deferred period, and the Court retains jurisdiction to enforce the buyout or sale at the conclusion of the two-year term.</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This structure is consistent with the approach affirmed in Silvan v. Alcina, 105 P.3d 117 (Alaska 2005), where the Alaska Supreme Court upheld a trial court's arrangement that allowed one party to remain in the family home pending a defined resolution mechanism, while protecting the other party's financial interest through specific court-ordered terms.</w:t>
      </w:r>
    </w:p>
    <w:p>
      <w:pPr>
        <w:spacing w:line="240"/>
      </w:pPr>
      <w:r>
        <w:rPr>
          <w:rFonts w:ascii="Times New Roman" w:cs="Times New Roman" w:eastAsia="Times New Roman" w:hAnsi="Times New Roman"/>
          <w:b w:val="false"/>
          <w:bCs w:val="false"/>
          <w:sz w:val="24"/>
          <w:szCs w:val="24"/>
        </w:rPr>
        <w:t xml:space="preserve"/>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V. CONCLUSION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For the foregoing reasons, Sarah Whitfield respectfully requests that the Court enter an order: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1. Granting Sarah the right to remain in the family home located in Anchorage for a minimum of two years from the date of the final dissolution decree, consistent with AS 25.24.160(a)(4)(F) and the children's best interests;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2. Deferring the buyout or sale of the family home until the conclusion of the two-year period, with the parties to negotiate terms at that time, and the Court retaining jurisdiction to order a sale and just division of net equity if the parties cannot agree;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3. Requiring full financial disclosure from both parties pursuant to Civil Rule 26.1(b) and Civil Rule 90.1(e) before any final child support or property division order is entered;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4. Independently verifying any proposed child support figure against the Civil Rule 90.3(a)(1) and (a)(2)(B) guidelines based on Tomas's verified adjusted annual income;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5. Entering a detailed parenting plan that incorporates Tomas's off-rotation schedule, a structured holiday calendar, and a procedure for addressing schedule modifications; and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6. Dividing all remaining marital assets and debts, including the joint savings account and shared credit card debt, in a just manner consistent with the statutory factors set forth in AS 25.24.160(a)(4).</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Sarah remains committed to a fair and cooperative resolution of all outstanding issues and requests only that the Court ensure that any final orders are grounded in complete financial disclosures, verified guideline calculations, and a property division that accounts for the children's need for residential stability during this difficult transition.</w:t>
      </w:r>
    </w:p>
    <w:sectPr>
      <w:pgSz w:w="11906" w:h="16838" w:orient="portrait"/>
      <w:pgMar w:top="1440" w:right="108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2026-08-16T18:36:21.322Z</dcterms:created>
  <dcterms:modified xsi:type="dcterms:W3CDTF">2026-08-16T18:36:21.322Z</dcterms:modified>
</cp:coreProperties>
</file>

<file path=docProps/custom.xml><?xml version="1.0" encoding="utf-8"?>
<Properties xmlns="http://schemas.openxmlformats.org/officeDocument/2006/custom-properties" xmlns:vt="http://schemas.openxmlformats.org/officeDocument/2006/docPropsVTypes"/>
</file>