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Third Judicial District, Family Division, on Petitioner Renee Sutter's petition for dissolution of marriage from Respondent Danielle Sutter. The parties were married in Anchorage, Alaska in 2015 and are the parents of two minor children, ages six and nine. The marriage has irretrievably broken down due to prolonged conflict over finances and differing parenting philosophies, and reconciliation is not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respectfully requests that this Court enter a dissolution decree that: (1) establishes a primary physical custody arrangement in favor of Renee with defined parenting time for Danielle; (2) orders child support calculated in accordance with Alaska Civil Rule 90.3; (3) requires Danielle to contribute proportionally to out-of-pocket medical and extracurricular expenses for the children; and (4) divides the marital home and joint credit card debt in a manner that fairly allocates the economic effect of dissolution. As set forth below, applicable Alaska statutes and court rules fully support the relief Renee seeks.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and Danielle Sutter were married in Anchorage, Alaska in 2015. The marriage produced two minor children: a nine-year-old and a six-year-old. The family resided in Eagle River, Alaska, and in 2017 purchased a home there, subject to a joint mortgage with an approximate remaining balance of $210,000. Over the course of the marriage, the parties also accumulated joint credit card debt of approximately $18,000.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Beginning in early 2024, the marriage broke down irretrievably due to irreconcilable differences arising from prolonged financial conflict and fundamentally differing parenting philosophies. Renee filed a petition for dissolution in the Alaska Superior Court, Third Judicial District, Family Division, seeking resolution of all outstanding issues including custody, child support, and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children, the parties have proposed a joint legal custody arrangement under which the children reside primarily with Renee during the school week. Danielle would have the children on alternating weekends, during school holidays, and for six weeks each summer. Both parties would share decision-making authority regarding the children's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 is employed as a licensed electrician and earns a consistent gross monthly income. Renee requests that child support be calculated under Civil Rule 90.3 based on Danielle's adjusted annual income and the primary physical custody arrangement proposed herein, and further requests that Danielle contribute proportionally to the children's out-of-pocket medical and extracurricular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property, Renee proposes that the Eagle River marital home be listed for sale and that the net proceeds, after satisfying the mortgage and costs of sale, be divided equally between the parties. Danielle requests the right to buy out Renee's share and retain the property. With respect to the joint credit card debt of approximately $18,000 accumulated during the marriage, Renee requests that the debt be allocated equitably between the parties in connection with the overall property division.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vests the superior court with broad authority to resolve all incidents of a dissolution, including custody, child support, and property division. Under AS 25.24.160, the court may provide for the payment of child support, the award of spousal maintenance, and the division of marital property in a manner that is just and proper. Property division must "fairly allocate the economic effect of divorce" by consideration of the statutory factors enumerated in AS 25.24.905(4), including the length of the marriage, the earning capacity of the parties, the financial condition of each party, and the time and manner of acquisition of the property in question.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dissolution process itself is governed by AS 25.24.200 through AS 25.24.250. A joint petition for dissolution may be filed where incompatibility of temperament has caused the irremediable breakdown of the marriage and the parties have reached agreement on custody, support, property division, and debt allocation. AS 25.24.200(a). The petition must state in detail all terms of agreement concerning the custody of children, child support, visitation, and division of property, and must also state the income, assets, and liabilities of the respective petitioners at the time of filing. AS 25.24.210(e).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filing, the court will hold a hearing pursuant to AS 25.24.220 and will examine the petitioners to determine whether they fully understand the nature and consequences of their action, whether agreements concerning child custody, support, and visitation are just and in the best interests of the children, and whether agreements relating to property division are just and fairly allocate the economic effect of dissolution. AS 25.24.220(d).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which establishes a formula for calculating support based on the adjusted annual income of the non-custodial parent and the custody arrangement. Under Civil Rule 90.3(a), where one parent has primary physical custody, the support award equals the non-custodial parent's adjusted annual income multiplied by the applicable percentage: 20% for one child and 27% for two children. The Alaska Supreme Court has recognized that these guidelines are designed to ensure that child support orders are adequate to meet the needs of children, subject to the ability of parents to pay, and to make awards predictable and consistent.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CUSTODY ARRANGEMENT IS IN THE BEST INTERESTS OF THE CHILDREN AND SHOULD BE APPROVED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primary concern in any custody determination is the best interests of the children. The arrangement proposed here, under which the children reside primarily with Renee during the school week and spend alternating weekends, school holidays, and six weeks each summer with Danielle, appropriately balances stability and continuity for the children with meaningful parenting time for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25.24.200(a)(2), a joint petition for dissolution may include an agreement on custody only if the spouses have agreed on which spouse is to be awarded custody of each minor child and the extent of visitation, including the support to be provided on the children's behalf. The proposed arrangement satisfies each of these requirements. The children will maintain their established school-week routine with Renee, providing stability in their academic and social lives, while Danielle will exercise substantial parenting time during alternating weekends, holidays, and an extended summer period. Both parents will share decision-making authority regarding education, healthcare, and general well-being, reflecting a commitment to cooperative co-parenting.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court examines the petition at the dissolution hearing, it will consider whether the written agreements concerning child custody, child support, and visitation are just as between the parties and in the best interests of the children. AS 25.24.220(d)(2). The proposed custody terms meet this standard. The children will benefit from the continuity of their primary residence with Renee, from regular and meaningful contact with Danielle, and from the cooperative joint legal custody structure the parties have proposed.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CALCULATED UNDER CIVIL RULE 90.3 BASED ON DANIELLE'S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will reside primarily with Renee, this is a primary physical custody case for purposes of child support calculation, and the award must be calculated pursuant to Civil Rule 90.3(a). Under that provision,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the applicable percentage is 27% of the non-custodial parent's adjusted annual income.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Adjusted annual income under Civil Rule 90.3(a)(1) is defined as "the parent's total income from all sources minus" mandatory deductions including federal, state, and local income taxes, Social Security tax, Medicare tax, mandatory union dues, and mandatory contributions to a retirement or pension plan, as well as certain other allowable deductions. Danielle's adjusted annual income must be calculated by reference to her gross income as a licensed electrician, reduced by all applicable mandatory deductions set forth in Civil Rule 90.3(a)(1)(A).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Rule 90.3 formula is intended to ensure that child support is adequate to meet the needs of children, subject to the ability of parents to pay, and to produce predictable and consistent results. Ruppe v. Ruppe, 358 P.3d 1284 (Alaska 2015). Accordingly, this Court should order Danielle to pay child support calculated in strict accordance with the Civil Rule 90.3(a) formula, based on her documented adjusted annual income, for the benefit of both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base child support, Danielle should be required to contribute proportionally to the children's out-of-pocket medical expenses and extracurricular costs. Such contributions are expressly contemplated under AS 25.24.930(1), which authorizes the court to provide for payments "as may be just and proper for the parties to contribute toward the nurture and education of their children." The petition must also state the parties' agreement on health care expenses for the children as part of the child support terms. AS 25.24.210(e). Proportional allocation of these expenses, based on the relative incomes of the parties, is a fair and just approach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child support calculations under Rule 90.3 must realistically reflect the financial circumstances of both parents. Halvers v. Pruitt, 404 P.3d 837 (Alaska 1999). Danielle's consistent employment as a licensed electrician indicates a stable, ascertainable income from which a child support obligation can be reliably calculated. Should this Court find at any point that Danielle is voluntarily and unreasonably unemployed or underemployed, the Court retains authority under Civil Rule 90.3(a)(4) to impute potential income to her based on her skills, employment history, and the local job market.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award should further take into account the extended summer visitation period. Civil Rule 90.3(a)(3) provides that the court may allow the obligor parent to reduce child support payments by up to 75% for any period in which the obligor parent has extended visitation of over 27 consecutive days. Because Danielle will have six weeks of consecutive summer parenting time, the order should specify the amount of any allowable reduction during that period consistent with Civil Rule 90.3(a)(3).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MARITAL HOME AND JOINT DEBT SHOULD BE DIVIDED IN A MANNER THAT FAIRLY ALLOCATES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the marital home and the joint credit card debt must be governed by the factors set forth in AS 25.24.160(a)(4), which directs the court to divide marital property "in a just manner" by consideration of all statutory factors, including the length of the marriage, the earning capacity of the parties, the financial condition of each party, the desirability of awarding the family home to the party with primary physical custody of the children, the circumstances and necessities of each party, and the income-producing capacity of the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Eagle River home was purchased in 2017 and is encumbered by a joint mortgage with an approximate remaining balance of $210,000. It is therefore marital property subject to division under AS 25.24.160(a)(4). The applicable statutory factors favor a sale of the property and equal division of the net proceeds for the following reasons.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length of the marriage, approximately nine years, suggests that both parties have contributed to the marital estate over a substantial period. Second, Danielle, as a licensed electrician, has a stronger earning capacity and is better positioned to qualify independently for new financing if she wishes to purchase a different residence. Third, with respect to the desirability of awarding the family home to the party with primary physical custody, AS 25.24.160(a)(4)(F) specifically identifies this as a factor the court must consider. While Renee does have primary physical custody, a sale and equal division of net proceeds would provide Renee with the capital necessary to secure appropriate housing for herself and the children, which equally serves this statutory purpose.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required that property division fairly allocate the economic effect of dissolution after considering all relevant statutory factors. Ruppe v. Ruppe, 358 P.3d 1284 (Alaska 2015). Here, an equal split of net sale proceeds accomplishes this goal by giving each party a fair share of the equity accumulated during the marriage while avoiding the complications of a contested buyout valuation.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does not oppose Danielle's interest in retaining the home, but Danielle's buyout proposal must be evaluated carefully. If the Court considers allowing Danielle to buy out Renee's share, it must ensure that the buyout amount is based on a current, professionally conducted appraisal of fair market value; that the buyout is completed within a defined period; that Renee is fully released from the joint mortgage obligation as a condition of any buyout; and that the agreed-upon division "fairly allocate[s] the economic effect of divorce" as required by AS 25.24.160(a)(4). If Danielle cannot satisfy these conditions within a reasonable period, the Court should order the home sold and the net proceeds divided equally.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approximately $18,000 in joint credit card debt accumulated during the marriage, this debt constitutes a marital obligation subject to equitable allocation. Under AS 25.24.200(a)(4), the parties to a dissolution must agree "as to the payment of all unpaid obligations incurred by either or both of them." Because this debt was incurred jointly during the marriage, it should be allocated equally between the parties. Alternatively, the Court may allocate debt in a manner that offsets any disparity in the net property award, consistent with the overall goal of a just division under AS 25.24.160(a)(4). The Alaska Supreme Court has recognized that the division of marital debts, like the division of assets, must reflect all relevant circumstances of the parties. Laughlin v. Laughlin, 229 P.3d 1002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delay or reservation of the property division issue is strictly limited by AS 25.24.155, which provides that the court may not delay or reserve an issue of property division unless each party expressly agrees on the record or a party moving for delay demonstrates good cause and the court finds the opposing party's interests will not be jeopardized. Renee does not consent to any such reservation, and prompt resolution of the property issues is necessary to protect her ability to secure housing for herself and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DISSOLUTION PETITION MEETS ALL STATUTORY REQUIREMENTS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for dissolution satisfies the requirements of AS 25.24.200(a). Incompatibility of temperament has caused the irremediable breakdown of the marriage. The parties are parents of minor children and have reached agreement on custody, visitation, and support. The parties have addressed the distribution of the marital home and joint debt. The petition constitutes the entire agreement between the parties as required by AS 25.24.200(a) and AS 25.24.210(e).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25.24.210(e), the petition must state in detail the terms of the agreement on custody, child support including periodic payments and health care expenses, visitation, any spousal maintenance, and the fair and just division of property. The petition filed in this matter includes all of these required components. At the hearing scheduled under AS 25.24.220, the Court will examine the parties to ensure they understand the nature and consequences of their action, that the custody and support terms are just and in the best interests of the children, and that the property division fairly allocates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AS 25.24.220(h) requires heightened scrutiny of agreements where there is a minor child of the marriage. Because the parties have two minor children, this standard applies, and the Court must carefully examine whether the written agreements are just and in the best interests of the children. AS 25.24.220(i). The proposed custody, support, and property terms presented here withstand this level of scrutiny, as they are transparently negotiated, based on disclosed incomes and assets, and designed to serve the children's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the forms and instructions for dissolution proceedings are made available to the public as required by AS 25.24.250, and Renee has endeavored to comply fully with all procedural requirements of the Alaska Rules of Civil Procedure and the applicable statutes in preparing and filing this petition.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Petitioner Renee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 the petition for dissolution of the marriage of Renee Sutter and Danielle Sutter on the grounds that incompatibility of temperament has caused the irremediable breakdown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custody order establishing primary physical custody of the two minor children with Renee Sutter, with parenting time for Danielle Sutter as set forth in the proposed parenting plan, including alternating weekends, school holidays, and six consecutive weeks each summer;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Danielle Sutter to pay child support calculated in accordance with Civil Rule 90.3(a) based on her adjusted annual income, at the 27% rate applicable for two children, with any extended visitation credit for the summer period determined under Civil Rule 90.3(a)(3), and with proportional contribution to the children's out-of-pocket medical and extracurricular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the marital home in Eagle River to be sold and the net proceeds, after satisfaction of the mortgage and reasonable costs of sale, to be divided equally between the parties, unless Danielle Sutter completes a buyout of Renee Sutter's equity interest at fair market value within a court-ordered period and provides Renee Sutter with a full release from the joint mortgage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Allocate the approximately $18,000 in joint marital credit card debt equitably between the parties, consistent with the overall property division;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2026-08-16T18:37:57.167Z</dcterms:created>
  <dcterms:modified xsi:type="dcterms:W3CDTF">2026-08-16T18:37:57.167Z</dcterms:modified>
</cp:coreProperties>
</file>

<file path=docProps/custom.xml><?xml version="1.0" encoding="utf-8"?>
<Properties xmlns="http://schemas.openxmlformats.org/officeDocument/2006/custom-properties" xmlns:vt="http://schemas.openxmlformats.org/officeDocument/2006/docPropsVTypes"/>
</file>