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DIVORCE/DISSOLUTION FILING INVOLVING MINOR CHILDREN</w:t>
      </w:r>
    </w:p>
    <w:p>
      <w:pPr>
        <w:spacing w:after="0" w:before="0" w:line="240"/>
        <w:jc w:val="center"/>
      </w:pPr>
      <w:r>
        <w:rPr>
          <w:rFonts w:ascii="Times New Roman" w:cs="Times New Roman" w:eastAsia="Times New Roman" w:hAnsi="Times New Roman"/>
          <w:b w:val="false"/>
          <w:bCs w:val="false"/>
          <w:sz w:val="24"/>
          <w:szCs w:val="24"/>
        </w:rPr>
        <w:t xml:space="preserve">(doc-0029)</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Tomas Whitfield respectfully submits this brief in support of his petition for dissolution of marriage from Respondent Danielle Whitfield. The parties were married in Anchorage, Alaska in 2014 and have two minor children together, currently aged six and nine. After approximately ten years of marriage, the relationship has broken down irretrievably due to irreconcilable differences arising from financial stress and prolonged periods of separation attributable to Tomas's seasonal employment on the North Slope. The parties agree on the general framework for custody and legal decision-making authority but dispute the proper calculation and amount of child support, the disposition of the jointly owned marital home, and the allocation of marital debt. Tomas asks this Court to enter a dissolution decree that serves the best interests of the children, establishes a fair and workable child support obligation consistent with Civil Rule 90.3, and equitably divides the marital estate, including the family home equity and outstanding credit card obligations, in accordance with AS 25.24.160.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Whitfield and Danielle Whitfield were married in Anchorage, Alaska in 2014. The marriage produced two minor children, now aged six and nine. For much of the marriage, Tomas has worked in seasonal employment on the North Slope of Alaska, which provided the family's primary source of income but also required extended periods of physical absence from the family home in Anchorage.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Over the past two years, the marriage deteriorated due to a combination of financial pressures and the strains caused by Tomas's recurring absences. The parties have reached incompatibility of temperament that has caused the irremediable breakdown of their marriage, satisfying the foundational requirement for dissolution under AS 25.24.200.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Regarding the children, the parties have agreed in principle that the minor children will reside primarily with Danielle during the school year. Tomas will exercise alternating weekend visitation and will have extended parenting time during summer months and major holidays. Both parties agree to share legal custody and to make joint decisions regarding the children's education, health care, and general well-being. Both children currently receive speech therapy services that are not fully covered by insurance, generating ongoing out-of-pocket costs that Danielle contends should be factored into the child support determination.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jointly own a home in Anchorage with an estimated fair market value of approximately $265,000 and an outstanding mortgage balance of approximately $210,000, leaving estimated equity of approximately $55,000. Danielle wishes to retain the marital home and refinance the mortgage solely in her name, thereby relieving Tomas of the mortgage obligation. Tomas does not object to Danielle retaining the home but requests an offsetting cash payment representing his proportionate share of the existing equity.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also accumulated approximately $34,000 in credit card debt during the marriage. The allocation of this debt between the parties remains in dispute.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Dissolution of Marriage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25.24.200, a husband and wife may jointly petition the superior court for dissolution of their marriage when incompatibility of temperament has caused the irremediable breakdown of the marriage, the parties have agreed on custody, support, and visitation for any minor children, and the parties have agreed as to the distribution of property and payment of obligations. The court is required under AS 25.24.220 to examine the petitioners and determine whether the parties fully understand the nature and consequences of their action, whether agreements regarding children are just and in the children's best interests, and whether agreements regarding property and debt allocation are just and fairly allocate the economic effect of dissolution.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Child Support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in Alaska is governed by Civil Rule 90.3. Under Civil Rule 90.3(a), a child support award in a primary physical custody case is calculated by multiplying the non-custodial parent's adjusted annual income by a specified percentage, which is 27% for two children. Civil Rule 90.3(a)(1) defines adjusted annual income as the parent's total income from all sources minus specified mandatory deductions and other enumerated items. The court retains discretion to deviate from the guideline amount in unusual circumstances, provided it makes specific findings on the record.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Division of Marital Property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25.24.160, the court is authorized to provide for the division of property, whether joint or separate, acquired during the marriage, in a just manner and without regard to fault. The division must fairly allocate the economic effect of divorce and must be based on consideration of multiple statutory factors, including the length of the marriage, the age and health of the parties, their respective earning capacities, the financial condition of each party, the conduct of the parties, the desirability of awarding the family home to the party with primary physical custody of the children, the circumstances and necessities of each party, the time and manner of acquisition of the property, and the income-producing capacity and value of the property at the time of division. The Alaska Supreme Court has recognized in Hockema v. Hockema, 403 P.3d 1080 (Alaska 2017), that these statutory factors, often called the Merrill factors, guide trial courts in equitably allocating the economic effects of a divorce. The court in Brown v. Brown, 914 P.2d 206 (Alaska 1996), similarly recognized the broad statutory framework governing property division under AS 25.24.160(a)(4).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Modification and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When custody and visitation are at issue, the overarching standard is the best interests of the children. Under AS 25.20.110, any subsequent modification of a custody or visitation award requires a showing of a change in circumstances and a finding that the modification would be in the child's best interests.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THE PROPOSED PRIMARY CUSTODY ARRANGEMENT IS IN THE BEST INTERESTS OF THE CHILDREN AND SHOULD BE APPROVED BY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have agreed that the two minor children will reside primarily with Danielle during the school year, with Tomas exercising alternating weekend visitation and extended parenting time during summer months and major holidays. Both parties will share legal custody and joint decision-making authority regarding education, health care, and general well-being. This arrangement reflects the practical realities of Tomas's seasonal employment schedule while ensuring that the children maintain a meaningful and continuing relationship with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25.24.220, the court must examine whether the written agreements concerning child custody, child support, and visitation are just as between the parties and in the best interests of the children. The proposed arrangement satisfies this standard. The children will have a stable primary residence with Danielle during the school year, promoting continuity in their education and daily routines. Tomas's extended summer parenting time ensures that the parent-child relationship is preserved and enriched during the periods when his employment schedule permits sustained involvement.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decision in Silvan v. Alcina, 105 P.3d 117 (Alaska 2005), illustrates that courts have approved shared and primary custody arrangements tailored to the specific circumstances of the parties, including employment obligations, so long as the children's best interests are served. The proposed arrangement here is similarly tailored to the realities of this family's circumstances and merits the court's approval.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Both parties' agreement to joint legal custody and joint decision-making regarding education, health care, and well-being reinforces the children's connection to both parents and reflects the kind of cooperative co-parenting arrangement courts in Alaska are encouraged to support. This Court should approve the proposed custody and visitation framework as just, workable, and in the best interests of the six- and nine-year-old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CHILD SUPPORT SHOULD BE CALCULATED UNDER CIVIL RULE 90.3(a) BASED ON TOMAS'S ADJUSTED ANNUAL INCOME, AND THE COURT SHOULD CONSIDER AN UPWARD DEVIATION TO ADDRESS THE CHILDREN'S UNINSURED SPEECH THERAPY EXPENSES.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Guideline Calculation Under Civil Rule 90.3(a)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the proposed arrangement places the children in Danielle's primary physical custody during the school year, child support is governed by Civil Rule 90.3(a). Under that rule, the support award equals the non-custodial parent's adjusted annual income multiplied by the applicable percentage. For two children, that percentage is 27% (.27). Civil Rule 90.3(a)(1) defines adjusted annual income as the parent's total income from all sources, reduced by mandatory deductions such as federal, state, and local income taxes, Social Security and Medicare taxes, mandatory union dues, and mandatory retirement contributions, as well as certain voluntary retirement contributions, work-related child care expenses for the subject children, and health insurance premiums paid for the parent only.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Tomas's income derives primarily from his seasonal employment on the North Slope. Because that income is higher than a typical year-round salary and may fluctuate from season to season, the court should carefully evaluate Tomas's total income from all sources in calculating his adjusted annual income. The Alaska Supreme Court recognized in Faulkner v. Goldfuss, 46 P.3d 993 (Alaska 2002), that the goal of the Rule 90.3 guidelines is to obtain a realistic estimate of an obligor's adjusted annual income. Similarly, the court in Ruppe v. Ruppe, 358 P.3d 1284 (Alaska 2015), emphasized that the primary beneficiary of child support is the child, and that the formula is designed to contribute to the child's multiple needs, including food, housing, and clothing.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does not dispute his obligation to pay child support calculated on his actual adjusted annual income. He asks only that the calculation faithfully apply Civil Rule 90.3(a)(1) by accounting for all permissible deductions, including mandatory payroll deductions associated with his North Slope employment, so that the resulting support obligation reflects his true ability to pay while adequately providing for the children's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An Upward Deviation to Address Uninsured Speech Therapy Costs Is Appropriate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Danielle has requested that the court deviate upward from the guideline amount to address the children's ongoing speech therapy expenses that are not covered by their health insurance. This request has merit and should be considered by the court as part of a comprehensive support determination.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 identifies work-related child care expenses for the subject children as a permissible deduction from the obligor parent's adjusted annual income. However, extraordinary medical and therapeutic expenses that fall outside the scope of ordinary child-rearing costs and are not reflected in the standard guideline calculation may warrant a deviation. The court has authority to consider such unusual circumstances in fashioning a just support order. An upward deviation to account for the children's uninsured speech therapy costs would ensure that the guideline award does not leave the custodial parent bearing an inequitable share of these necessary therapeutic expenses.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does not oppose a reasonable contribution toward the children's uninsured speech therapy costs. He asks the court to establish a clear, specific framework, either through a percentage-based sharing arrangement or a defined monthly addition to the base guideline amount, to ensure transparency, predictability, and fairness for both parties. Any deviation from the guideline amount should be supported by documentation of the actual therapy costs and should be adjusted as those costs change over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MARITAL HOME SHOULD BE AWARDED TO DANIELLE SUBJECT TO A PROMPT, EQUITABLE CASH PAYMENT TO TOMAS REPRESENTING HIS PROPORTIONATE SHARE OF THE NET EQUITY.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Statutory Framework Favors Awarding the Family Home to the Primary Custodial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25.24.160(a)(4)(F), the court must consider "the desirability of awarding the family home, or the right to live in it for a reasonable period of time, to the party who has primary physical custody of children." This factor reflects the Legislature's recognition that residential continuity and stability serve the children's best interests, and that uprooting children from their home in the wake of a divorce can compound the disruption they already face.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Here, the children have lived in the Anchorage home throughout their lives. Danielle will be their primary residential parent during the school year. Awarding her the right to remain in the home promotes continuity in the children's schooling, social relationships, and daily environment. The court in Hockema v. Hockema, 403 P.3d 1080 (Alaska 2017), confirmed that the statutory factors under AS 25.24.160(a)(4) guide equitable allocation of the economic effects of a divorce, including the disposition of the family home. Consistent with that guidance, this Court should award the family home to Danielle.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Tomas Is Entitled to an Offsetting Cash Payment Representing His Proportionate Share of the Equity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While the policy favoring award of the family home to the custodial parent is well established, a just division of property does not permit one party to receive the entirety of the marital equity without accounting for the other spouse's interest. Under AS 25.24.160(a)(4), the division of property must fairly allocate the economic effect of divorce, and the court must consider the financial condition of the parties, the circumstances and necessities of each party, and the value of the property at the time of division.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Anchorage home has an estimated market value of $265,000 with an outstanding mortgage of approximately $210,000, producing estimated net equity of approximately $55,000. If Danielle retains the home and refinances the mortgage in her name, she will receive the full benefit of that equity. Fairness and the statutory mandate of AS 25.24.160 require that Tomas receive an offsetting payment representing his proportionate share of the net equity.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should agree, or the court should determine, the precise percentage of equity to which each party is entitled, taking into account the statutory factors under AS 25.24.160(a)(4), including the length of the marriage, the contributions of each party to the acquisition and maintenance of the home, and the overall structure of the property division. Tomas proposes that the equity be divided equally, resulting in a payment to him of approximately $27,500, to be made at the time of refinancing or within a judicially specified period thereafter. The court in Silvan v. Alcina, 105 P.3d 117 (Alaska 2005), approved a similar mechanism in which the court ordered a sale or buyout of the family home and required one spouse to pay the other a specified share of the home's stipulated value, confirming that this approach is an established and workable method of equitable property division in Alaska.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The Court Must Also Consider the Desirability of Awarding the Home in Light of Danielle's Ability to Refinance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condition any award of the family home to Danielle upon her demonstrated ability to refinance the mortgage within a reasonable and specified period. Danielle's proposal to retain the home and refinance the mortgage in her sole name is practical only if she can qualify for financing. If Danielle is unable to refinance, the Court should order the home sold and the net proceeds divided equitably between the parties, consistent with AS 25.24.160(a)(4). Tomas respectfully requests that the Court establish a firm refinancing deadline and provide that failure to meet that deadline results in a mandatory listing and sale of the property, with the net sale proceeds distributed in accordance with the Court's equity determination.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MARITAL CREDIT CARD DEBT SHOULD BE ALLOCATED EQUITABLY BETWEEN THE PARTIES IN ACCORDANCE WITH AS 25.24.160.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accumulated approximately $34,000 in credit card debt during the marriage. Under AS 25.24.200(a)(4), a petition for dissolution must address the parties' agreement as to the payment of all unpaid obligations incurred by either or both of them. Where the parties cannot agree, the court retains authority under AS 25.24.160 to allocate marital obligations in a manner that fairly distributes the economic effect of dissolution.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allocating marital debt, the court should apply the same statutory factors that govern property division under AS 25.24.160(a)(4), including the financial condition of each party, the circumstances and necessities of each party, and the conduct of the parties in incurring and managing the debt. The Alaska Supreme Court recognized in Osterkamp v. Stiles, 235 P.3d 178 (Alaska 2010), that courts evaluate marital debts with careful attention to the specific circumstances surrounding their incurrence and the equities as between the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proposes that the credit card debt be allocated in proportion to the overall property division. If Danielle receives the primary marital asset, the family home, along with the associated equity, it is equitable for a greater share of the marital debt to be allocated to the party who retains the greater share of the marital assets. Alternatively, if the court determines that equal allocation of the debt is more consistent with the equities, Tomas is prepared to assume responsibility for approximately $17,000 of the total credit card debt, with Danielle assuming the remainder.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any event, the court should include express provisions in the dissolution decree allocating the credit card debt clearly between the parties, specifying which accounts each party is responsible for paying, and including appropriate indemnification language to protect each party from liability arising out of the other's failure to pay their assigned obligations. This approach is consistent with the requirements of AS 25.24.220, which directs the court to examine whether the written agreements between the parties relating to the allocation of obligations are just.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COURT SHOULD APPLY HEIGHTENED SCRUTINY TO THE AGREEMENTS AS REQUIRED UNDER AS 25.24.220.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25.24.220(h), the court is required to apply a heightened level of scrutiny to the parties' agreements when, among other circumstances, there is a minor child of the marriage. Here, there are two minor children. Accordingly, under AS 25.24.220(i), the court must examine the written agreements to determine that they are just, that they constitute the entire agreement between the parties, and that the agreements concerning child custody, child support, and visitation are in the best interests of the children of the marriage.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welcomes this heightened review. The proposed arrangements have been designed with the children's best interests as the paramount concern. The custody and visitation framework preserves the children's relationship with both parents while providing the stability of a primary residential placement with Danielle during the school year. The child support calculation under Civil Rule 90.3(a), adjusted to account for the children's therapeutic needs, is designed to ensure adequate support. The property and debt allocation proposals are structured to fairly distribute the economic consequences of the dissolution without unduly disadvantaging either party. This Court's careful review of all agreements will confirm that they are just, comprehensive, and in the best interests of the parties' minor children.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Tomas Whitfield respectfully requests that this Court enter a decree of dissolution of marriage that: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Approves the proposed primary physical custody arrangement placing the children primarily with Danielle during the school year, with Tomas receiving alternating weekend visitation and extended summer and holiday parenting time, and establishing joint legal custody and shared decision-making authority consistent with the children's best interests under AS 25.24.220 and AS 25.20.110;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Establishes child support consistent with Civil Rule 90.3(a), based on Tomas's adjusted annual income and the 27% guideline percentage applicable to two children, with an appropriate, specific provision for contribution toward the children's uninsured speech therapy expenses;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Awards the family home to Danielle, conditioned upon her refinancing the mortgage within a specified period, and requires Danielle to pay Tomas a cash sum representing his proportionate share of the net equity, estimated at approximately $27,500, consistent with AS 25.24.160(a)(4);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Orders the sale of the family home and equitable division of net sale proceeds if Danielle fails to refinance the mortgage within the court-ordered period;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Allocates the approximately $34,000 in marital credit card debt equitably between the parties, consistent with AS 25.24.160(a)(4), with clear identification of each party's obligations and mutual indemnification provisions;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Makes all other findings and orders necessary to fairly and completely resolve the parties' dissolution under AS 25.24.160, AS 25.24.200, and AS 25.24.220.</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2026-08-16T18:39:39.230Z</dcterms:created>
  <dcterms:modified xsi:type="dcterms:W3CDTF">2026-08-16T18:39:39.230Z</dcterms:modified>
</cp:coreProperties>
</file>

<file path=docProps/custom.xml><?xml version="1.0" encoding="utf-8"?>
<Properties xmlns="http://schemas.openxmlformats.org/officeDocument/2006/custom-properties" xmlns:vt="http://schemas.openxmlformats.org/officeDocument/2006/docPropsVTypes"/>
</file>