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DIVORCE/DISSOLUTION FILING INVOLVING MINOR CHILDREN</w:t>
      </w:r>
    </w:p>
    <w:p>
      <w:pPr>
        <w:spacing w:after="0" w:before="0" w:line="240"/>
        <w:jc w:val="center"/>
      </w:pPr>
      <w:r>
        <w:rPr>
          <w:rFonts w:ascii="Times New Roman" w:cs="Times New Roman" w:eastAsia="Times New Roman" w:hAnsi="Times New Roman"/>
          <w:b w:val="false"/>
          <w:bCs w:val="false"/>
          <w:sz w:val="24"/>
          <w:szCs w:val="24"/>
        </w:rPr>
        <w:t xml:space="preserve">(doc-0030)</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matter arises from a petition for dissolution of marriage filed by Priya Whitfield in the Superior Court for the State of Alaska. The parties were married in Anchorage, Alaska in 2015 and are the parents of two minor children, currently ages six and nine. The marriage has broken down irreparably due to Brandon Whitfield's extended work absences on the North Slope and fundamental disagreements regarding financial management. Priya Whitfield respectfully submits this brief in support of her proposed custody arrangement, child support calculation, and property division plan. The central disputes before the Court are: (1) the appropriate residential custody schedule for the minor children; (2) the proper calculation of child support under Alaska Civil Rule 90.3; and (3) the just and equitable division of the marital estate, including the family home, a joint vehicle loan, and approximately $28,000 in marital credit card debt. Priya Whitfield's proposals are grounded in the best interests of the children, consistent with Alaska law governing dissolution proceedings, and supported by a fair allocation of the economic consequences of dissolution.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Priya Whitfield and Brandon Whitfield were married in Anchorage, Alaska in 2015. The parties are the parents of two minor children born of the marriage, currently ages six and nine. Over the course of the marriage, Brandon Whitfield has been employed as a pipeline technician on the North Slope, a position that has required frequent and extended absences from the family home located in Eagle River, Alaska. These prolonged absences have placed the primary burden of day-to-day parenting, household management, and child-rearing responsibilities squarely on Priya Whitfield. Over the past two years, the marriage deteriorated due to Brandon's continued absences and irreconcilable differences regarding the management of marital finances. Priya filed a petition for dissolution in Alaska Superior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Priya proposes that she serve as the primary physical custodian of the two minor children. Under her plan, the children would reside at the family home in Eagle River during the school year, maintaining continuity in their schooling, community, and established routines. Brandon would have parenting time every other weekend and a continuous block of six weeks during the summer. Both parties would share legal custody, with major decisions regarding the children's education, healthcare, and welfare made jointly.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Brandon contests this arrangement and instead requests a 50/50 residential schedule during school breaks. With respect to financial matters, Brandon proposes that child support be calculated under Alaska Civil Rule 90.3 based on his higher income as a pipeline technician, that Priya retain the family home subject to a buyout of Brandon's equity interest, and that the parties divide the remaining marital debts equally, including a joint vehicle loan and approximately $28,000 in credit card balances accumulated during the marriage.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marital home is located in Eagle River and serves as the primary residence for Priya and the children. Brandon's earning capacity as a pipeline technician substantially exceeds Priya's income. The parties accumulated approximately $28,000 in joint credit card debt and share a vehicle loan over the course of the marriage.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Dissolution Proceedings Generally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law establishes a specific statutory framework for dissolution of marriage. Under AS 25.24.200(a), a husband and wife may jointly petition for dissolution if incompatibility of temperament has caused the irremediable breakdown of the marriage, and if the parties have reached agreement regarding child custody, support, visitation, property division, and allocation of debts. The petition must comply with the requirements set forth in AS 25.24.210, which mandates that the petition state the terms of any custody, support, and visitation agreement in detail, as well as disclose the income, assets, and liabilities of each petitioner at the time of filing.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25.24.220(d), the court is required to examine whether the parties' agreements concerning child custody, child support, and visitation are just as between the spouses and in the best interests of the children of the marriage. The court must also examine whether the agreements relating to property and obligations are just and whether they fairly allocate the economic effect of dissolution.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Custody Determinations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law requires that any custody arrangement be evaluated according to the best interests of the children. AS 25.20.090 identifies the factors a court must consider when determining whether to award shared custody, including the child's preference if of sufficient age and capacity, the needs of the child, the stability of the home environment each parent can offer, the child's education, the advantages of keeping the child in the community where the child presently resides, and the optimal time for the child to spend with each parent. Courts have consistently recognized that stability and continuity in a child's living situation are paramount considerations.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Child Support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Child support in Alaska is governed by Civil Rule 90.3. Under Civil Rule 906(a), where one parent holds primary physical custody, the support award equals the non-custodial parent's adjusted annual income multiplied by a specified percentage based on the number of children. For two children, the applicable percentage is 27%. Civil Rule 90.3(f) defines primary physical custody as a situation in which the children reside with the other parent for less than 30 percent of the year. Shared physical custody is defined under Civil Rule 90.3(f) as a situation in which the children reside with each parent for at least 30 but no more than 70 percent of the year. Where shared physical custody applies, the support calculation under Civil Rule 90.3(b) takes into account both parents' incomes and the respective percentages of time each parent has physical custody of the children. The Alaska Supreme Court has confirmed that these formulas are designed to ensure child support awards are adequate to meet the needs of children while remaining predictable and consistent. Ruppe v. Ruppe, 358 P.3d 1284 (Alaska 2015).</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Property Division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25.24.160(a)(4), the court is authorized to divide between the parties all property, whether joint or separate, acquired during the marriage in a just manner, without regard to fault. The division must fairly allocate the economic effect of dissolution and must take into consideration factors including the length of the marriage, the age and health of the parties, each party's earning capacity, the financial condition of the parties, the desirability of awarding the family home to the party with primary physical custody of the children, the circumstances and necessities of each party, and the income-producing capacity of the property. Spousal maintenance, if any, and property division together must fairly allocate the economic effect of dissolution. AS 25.24.160(a)(2).</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PRIYA WHITFIELD'S PROPOSED CUSTODY ARRANGEMENT SERVES THE BEST INTERESTS OF THE MINOR CHILDREN AND SHOULD BE ADOPTED BY THE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custody arrangement proposed by Priya Whitfield reflects the day-to-day realities of this family's life and is firmly grounded in the statutory factors set forth in AS 25.20.090. Priya has been the primary caregiver for the two minor children throughout the marriage, a role made necessary by Brandon's repeated and extended absences while working on the North Slope. The children have established roots in Eagle River, attend school in that community, and depend upon the stability and consistency that Priya's primary custody arrangement would preserve.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Stability of Home Environment and Community Continuity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Among the factors courts must weigh under AS 25.20.090 are the stability of the home environment likely to be offered by each parent, the education of the child, and the advantages of keeping the child in the community where the child presently resides. Priya's proposed plan directly advances each of these interests. The children attend school in Eagle River and reside in the family home. Maintaining primary residence with Priya during the school year ensures continuity of education, established peer relationships, and the stability of a home environment that the children have known throughout their lives.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Brandon's employment as a North Slope pipeline technician inherently involves unpredictable and extended periods of absence. A 50/50 residential schedule during school breaks, as Brandon proposes, fails to account for the practical limitations his work schedule imposes and could expose the children to disruption and instability during critical periods of the academic calendar. AS 25.20.090(3) requires the court to consider the stability of the home environment each parent can realistically offer, and Priya's consistent physical presence in Eagle River renders her home the more stable residential setting.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Optimal Parenting Time Allocation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25.20.090(6) directs the court to consider the optimal time for the child to spend with each parent, accounting for the actual time spent with each parent historically, the proximity of each parent to the other and to the school in which the child is enrolled, the feasibility of travel between parents, and any special needs of the child that one parent may be better positioned to address. Brandon's North Slope employment, which requires extended on-site rotations, significantly limits his practical availability. By contrast, Priya has been present and available in Eagle River to meet the children's daily educational, medical, and emotional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Priya's proposal does not eliminate Brandon from the children's lives. To the contrary, it provides him with parenting time every other weekend and a full six consecutive weeks during the summer, a meaningful and substantial block of time that supports the father-child relationship without disrupting the children's school year schedule. The Alaska Supreme Court has recognized that meaningful parenting time arrangements must be grounded in the realistic circumstances of each family, not abstract formulas that fail to reflect how a family actually functions. Faulkner v. Goldfuss, 46 P.3d 993 (Alaska 2002).</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Willingness to Facilitate the Parent-Child Relationship</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25.20.090(6)(E) requires consideration of each parent's willingness and ability to facilitate and encourage a close and continuing relationship between the other parent and the child. Priya's proposal, which affords Brandon regular weekend contact and an extended summer period, demonstrates her genuine commitment to ensuring that the children maintain a meaningful relationship with their father despite the breakdown of the marriage. This approach reflects good faith and a child-centered perspective that the Court should recognize.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Brandon's Proposed 50/50 Schedule During School Breaks Is Not Supported by the Statutory Factors.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Brandon's request for a 50/50 residential schedule during school breaks does not align with the statutory framework of AS 25.20.090. A rigid equal-time arrangement during school breaks ignores the practical realities of Brandon's work schedule, the distance between the North Slope and Eagle River, and the disruption that frequent residential transitions would impose on children ages six and nine. The court is directed by AS 25.20.090(6)(C) to consider the feasibility of travel between parents, and by AS 25.20.090(6)(B) to consider each parent's proximity to the school in which the children are enrolled. Brandon's North Slope employment makes consistent availability during school breaks uncertain. An arrangement predicated on Brandon being available for half of every school break period is speculative and potentially harmful to the children's well-being.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CHILD SUPPORT SHOULD BE CALCULATED UNDER CIVIL RULE 90.3(a) BASED ON BRANDON'S ADJUSTED ANNUAL INCOME AS THE NON-CUSTODIAL PARENT.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Priya Whitfield's proposed custody arrangement places the children in her primary physical custody, child support must be calculated under Civil Rule 994(a). Under that provision, "a child support award in a case in which one parent is awarded primary physical custody as defined by paragraph (f) will be calculated as an amount equal to the adjusted annual income of the non-custodial parent multiplied by a percentage specified in subparagraph (a)(2)." For two children, that percentage is 27%. Civil Rule 90.3(a)(2)(B).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90.3(f)(2) defines primary physical custody for purposes of the rule as a situation in which "the children reside with the other parent for a period specified in the custody order of less than 30 percent of the year." Under Priya's proposed arrangement, Brandon would exercise parenting time every other weekend during the school year plus six weeks in the summer. This schedule, calculated on an annual basis, results in residential time for Brandon that falls below the 30-percent threshold required for shared physical custody under Civil Rule 90.3(f)(1). Accordingly, the primary custody formula under Civil Rule 90.3(a) governs.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confirmed in Holmes v. Holmes, 414 P.3d 662 (Alaska 2018) that the classification of custody as primary or shared for purposes of Rule 90.3 is determined by the percentage of residential time specified in the custody order, not by informal arrangements or anticipated conduct. Here, the proposed parenting plan, as written, would not give Brandon 30 percent or more of annual residential time, placing this squarely within the Civil Rule 90.3(a) primary custody formula.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Brandon's adjusted annual income, as defined by Civil Rule 90.3(a)(1), is his total income from all sources minus authorized deductions, including mandatory federal, state, and local income taxes, Social Security and Medicare taxes, mandatory union dues, mandatory retirement contributions, and permissible voluntary retirement contributions not exceeding the applicable cap. As a pipeline technician earning substantially more than Priya, Brandon's adjusted annual income will serve as the basis for a support award of 27% of that figure to reflect support for two children. Civil Rule 90.3(a)(2)(B).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recognized in Sharon Thompson v. Everett Thompson, 454 P.3d 981 (Alaska 2019) that adjusted annual income under Civil Rule 90.3(a)(1) encompasses total income from all sources and that courts must carefully calculate the applicable deductions before arriving at the figure used to compute the support award. Priya requests that the Court require Brandon to produce complete and verified documentation of his pipeline technician income, including any shift differentials, bonuses, or other compensation, so that adjusted annual income may be accurately determined.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Additionally, pursuant to Civil Rule 90.3(a)(3), if Brandon exercises the six-week consecutive summer parenting period proposed by Priya, the Court may, in its discretion, allow an extended visitation credit of up to 75% of the child support amount for that period. Any such credit should be expressly stated in the support order and conditioned upon actual exercise of the extended visitation period.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THE FAMILY HOME SHOULD BE AWARDED TO PRIYA WHITFIELD AS PRIMARY CUSTODIAN, SUBJECT TO A BUYOUT OF BRANDON'S EQUITY INTEREST, AND THE MARITAL DEBTS SHOULD BE ALLOCATED EQUITABLY.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The Family Home Should Be Awarded to Priya.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25.24.160(a)(4), the court must divide the parties' property in a just manner, taking into consideration all relevant factors, including "the desirability of awarding the family home, or the right to live in it for a reasonable period of time, to the party who has primary physical custody of children." This factor weighs strongly in Priya's favor. The Eagle River family home is the residence in which the minor children have been raised and in which they have established their educational and community lives. Awarding the home to Priya preserves residential continuity for the children and supports the overall custody arrangement proposed herein.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Priya does not seek to deprive Brandon of his equity interest. Rather, she proposes a buyout arrangement under which she would compensate Brandon for his proportionate share of the equity accumulated in the family home during the marriage. This approach is consistent with AS 25.24.160(a)(4), which authorizes the court to require one party to assign, deliver, or convey real or personal property to the other party to accomplish a just division. The buyout reflects a practical solution that fairly allocates the economic consequences of dissolution while keeping the children in a stable home environment.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determining the buyout amount, the Court should consider the factors enumerated in AS 25.24.160(a)(4), including the length of the marriage, the parties' respective earning capacities, the financial condition of each party, and the time and manner of acquisition of the property. Brandon's substantially higher income as a pipeline technician enhances his capacity to absorb the economic adjustment associated with vacating the family home. Priya's lower earning capacity and primary custodial responsibilities counsel in favor of minimizing the financial burden placed on her by the buyout obligation, including structuring the payment over a reasonable period of time.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emphasized that property division and spousal maintenance awards together must fairly allocate the economic effect of divorce, and that each is a distinct instrument directed at achieving overall economic justice between the parties. Ruppe v. Ruppe, 358 P.3d 1284 (Alaska 2015). The proposed home buyout, evaluated alongside the allocation of marital debt addressed below, is designed to achieve precisely that fair allocation.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The Marital Debts Should Be Divided Equitably in Light of the Parties' Respective Financial Circumstances.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parties accumulated approximately $28,000 in joint credit card balances and share a vehicle loan incurred during the marriage. Under AS 25.24.200(a)(4), the parties must agree as to the payment of all unpaid obligations incurred by either or both of them during the marriage. Where the parties cannot reach agreement, the Court has authority under AS 25.24.160(a)(4) to allocate those obligations in a just manner that fairly distributes the economic effect of dissolution.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Priya does not oppose an equitable division of the marital credit card debt. However, because the proposed custody arrangement places primary caregiving responsibilities on Priya, and because Brandon's income as a pipeline technician is substantially higher than Priya's, the Court should consider the financial condition and earning capacity of each party, as directed by AS 25.24.160(a)(4)(C) and (D), when determining the precise allocation of debt. An equal 50/50 split of the $28,000 credit card balance may not be equitable if it places a disproportionate financial strain on Priya relative to her income and her role as primary custodian.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With respect to the joint vehicle loan, the Court should allocate responsibility for that obligation to the party who retains the vehicle. If Priya retains the vehicle for purposes of transporting the minor children during the school year, responsibility for the vehicle loan should be assigned to her, with appropriate credit given in the overall property division calculation. If Brandon retains the vehicle, the loan obligation should follow accordingly. In either case, the remaining marital estate should be adjusted to reflect the allocation of debt so that the overall division fairly allocates the economic effect of dissolution as required by AS 25.24.160(a)(4).</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in Gorton v. Mann, 281 P.3d 81 (Alaska 2012) recognized that courts applying Civil Rule 90.3 must conduct a careful and particularized analysis of each parent's financial circumstances, a principle that applies with equal force to the equitable allocation of marital debts. The Court should likewise conduct a thorough examination of the parties' respective financial positions before imposing a debt allocation that could undermine Priya's ability to maintain a stable home for the minor children.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D. THE COURT SHOULD APPLY HEIGHTENED SCRUTINY TO ANY PROPOSED AGREEMENT WHERE THE PARTIES ARE UNREPRESENTED OR WHERE THE DIVISION IS INEQUITABLE.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25.24.220(h), the court is required to apply a heightened level of scrutiny to the parties' agreements if one party is represented by counsel and the other is not, if there is a minor child of the marriage, or if there is a patently inequitable division of the marital estate. Both minor children of the marriage are directly affected by the proposed custody and support arrangements, triggering the heightened scrutiny requirement of AS 25.24.220(h)(3). If either party is unrepresented at the dissolution hearing, AS 25.24.220(h)(1) provides an additional basis for the Court to look more carefully at the terms of any proposed agreement.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Where heightened scrutiny applies, AS 25.24.220(i) directs the court to "examine the written agreements between the spouses to determine that they are just, that they constitute the entire agreement between the parties, and that the agreements concerning child custody, child support, and visitation are in the best interest of the children of the marriage." Priya respectfully requests that the Court undertake that examination with care, ensuring that the custody arrangement, support calculation, and property division proposed herein comport with the statutory standards for fairness and the best interests of the children.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Priya Whitfield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Adopt her proposed primary physical custody arrangement, which places the children in her primary residential care in Eagle River during the school year, provides Brandon with parenting time every other weekend and six consecutive weeks during the summer, and preserves joint legal custody with shared decision-making authority on major issues;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Calculate child support under Civil Rule 90.3(a) based on Brandon Whitfield's adjusted annual income as the non-custodial parent, applying the 27% multiplier applicable to two children, with a permissible extended visitation credit under Civil Rule 90.3(a)(3) for the six-week summer parenting period if actually exercised;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Award the family home to Priya Whitfield as primary physical custodian, subject to a fair buyout of Brandon Whitfield's equity interest structured in a manner consistent with Priya's financial capacity;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Divide the marital credit card debt and vehicle loan in a manner that fairly allocates the economic effect of dissolution in accordance with AS 25.24.160(a)(4), taking into account the parties' substantially different earning capacities and Priya's primary caregiving role;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Apply the heightened scrutiny required by AS 25.24.220(h) and (i) to all written agreements in light of the presence of minor children of the marriage.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arrangements proposed by Priya Whitfield are just, child-centered, and consistent with the letter and spirit of Alaska law governing dissolution of marriage. The Court should adopt them in their entirety.</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2026-08-16T18:41:31.096Z</dcterms:created>
  <dcterms:modified xsi:type="dcterms:W3CDTF">2026-08-16T18:41:31.096Z</dcterms:modified>
</cp:coreProperties>
</file>

<file path=docProps/custom.xml><?xml version="1.0" encoding="utf-8"?>
<Properties xmlns="http://schemas.openxmlformats.org/officeDocument/2006/custom-properties" xmlns:vt="http://schemas.openxmlformats.org/officeDocument/2006/docPropsVTypes"/>
</file>