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on behalf of Petitioner Priya Bergstrom in support of the proposed parenting plan, child support award, and equitable division of the marital estate in the above-captioned dissolution proceeding. Priya Bergstrom and Jennifer Bergstrom were married in Anchorage, Alaska in 2015 and are the parents of two minor children, ages six and nine. Following a period of marital deterioration marked by communication breakdowns and divergent parenting philosophies, Priya filed for dissolution in Alaska Superior Court. The central disputes before the Court concern: (1) the appropriate physical custody arrangement and parenting schedule for the two minor children; (2) the calculation of child support consistent with Alaska Civil Rule 90.3; and (3) the equitable division of the marital estate, including the Eagle River family home, two vehicles, a joint savings account, and outstanding shared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respectfully requests that the Court enter orders establishing primary physical custody in her favor, with Jennifer exercising parenting time on alternating weekends, school holidays, and six weeks each summer. Priya further requests that the Court calculate Jennifer's child support obligation pursuant to Civil Rule 90.3(a) based on her income as a licensed electrician. Finally, Priya requests that the Court divide the marital estate in a manner that is just and equitable under AS 25.24.160, including awarding Priya the family home in recognition of her role as the children's primary residential parent.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and Jennifer Bergstrom were married on or about 2015 in Anchorage, Alaska. The parties have two minor children: a nine-year-old and a six-year-old, both of whom have resided with Priya at the family home in Eagle River throughout their lives and throughout the period of separation. The marriage broke down over approximately the past two years due to irreconcilable differences arising from communication failures between the parties and fundamentally incompatible parenting philosophies.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filed for dissolution in Alaska Superior Court. The parties have reached a tentative agreement on joint legal custody but have not resolved the question of physical custody or parenting time. Priya proposes that the children reside primarily with her at the Eagle River family home during the school week, with Jennifer exercising parenting time on alternating weekends, school holidays, and six weeks each summer. Jennifer, who has relocated to Fairbanks following the separation, contests this schedule and seeks a more equal physical custody division. Jennifer has represented that she intends to return to the Anchorage area within approximately six months, though no such relocation has yet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Eagle River family home valued at approximately $380,000 with a remaining mortgage balance of $210,000, yielding an approximate equity of $170,000; two vehicles; a joint savings account containing approximately $14,000; and approximately $28,000 in shared credit card debt. No agreement on the division of these marital assets and liabilities has been reached.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is a licensed electrician whose income forms the basis of the proposed child support calculation under Civil Rule 90.3. Priya is the children's primary caregiver and has been their consistent residential parent during the period of separation.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resolve dissolution proceedings involving minor children by applying a best interests of the child standard. Under AS 25.24.150(c), the court shall determine custody in accordance with the best interests of the child, considering a non-exhaustive list of statutory factors. These factors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well-being of the child;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whether to award shared custody, the court looks to the additional factors enumerated in AS 25.20.090, including the needs of the child, the stability of the home environment offered by each parent, the child's education, the advantages of keeping the child in the community where the child currently resides, and the optimal time for the child to spend with each parent, including consideration of each parent's proximity to the child's school, the feasibility of travel between the parents, and the willingness and ability of each parent to facilitate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Where one parent is awarded primary physical custody, support is calculated under Civil Rule 90.3(a) as the non-custodial parent's adjusted annual income multiplied by the applicable percentage, which is 27% for two children. Where the parents share physical custody, support is calculated under the more complex shared custody formula set forth in Civil Rule 90.3(b). The determination of which formula applies depends on the physical custody arrangement ultimately ordered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Division of the marital estate is governed by AS 25.24.160, which requires the court to divide marital property in a just manner, taking into account a range of enumerated factors including the length of the marriage, the age and health of the parties, the earning capacity of each party, the financial condition of the parties, the conduct of the parties, the desirability of awarding the family home to the party who has primary physical custody of children, the circumstances and necessities of each party, and the time, manner, and manner of acquisition of the property. The Alaska Supreme Court has confirmed that property division must fairly allocate the economic effect of dissolution. See Ruppe v. Ruppe, 358 P.3d 1284 (Alaska 2015); Sharon Thompson v. Everett Thompson, 454 P.3d 981 (Alaska 2019).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dissolution process itself is governed by AS 25.24.200 and AS 25.24.220, which require the court to examine the parties' agreements for justness and fairness, to consider whether agreements concerning child custody and child support are in the best interests of the children, and to apply heightened scrutiny where minor children are involved.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Award Priya Primary Physical Custody of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two minor children strongly favor awarding primary physical custody to Priya Bergstrom. The children, ages six and nine, have resided with Priya continuously at the Eagle River family home before and throughout the separation. Awarding primary physical custody to Priya preserves the stable residential environment the children have known their entire lives and protects the continuity of care that Alaska law specifically values.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 the court must consider the physical, emotional, mental, religious, and social needs of the child and the capability and desire of each parent to meet those needs. Priya has served as the children's primary caregiver throughout the marriage and the separation. Her continued role as the primary residential parent is the arrangement best suited to meeting the children's daily developmental, educational, and emotional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statute also requires the court to consider the length of time the child has lived in a stable, satisfactory environment and the desirability of maintaining continuity. Both children have lived in the Eagle River home for the entirety of their lives. Their schools, healthcare providers, friends, and community are all located in or near Eagle River. Disrupting this environment by imposing a more equal physical custody split, particularly while Jennifer resides in Fairbanks, would undermine precisely the stability and continuity Alaska law directs courts to protect.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 the court must also consider the proximity of each parent to the school in which the child is enrolled and the feasibility of travel between the parents. Jennifer currently resides in Fairbanks, a distance of several hundred miles from Eagle River. This distance makes a equal-time shared physical custody arrangement logistically unworkable during the school year. Jennifer's representation that she intends to return to the Anchorage area within six months is speculative and unverified; no such relocation has occurred. Courts must make custody decisions based on present circumstances, not anticipated future events. Priya respectfully submits that Jennifer's future plans should not form the basis for an order that would immediately disrupt the children's school attendance, daily routines, and stable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 further instructs the court to consider the willingness and ability of each parent to facilitate and encourage a close and continuing relationship between the other parent and the child. Priya is not seeking to limit the children's relationship with Jennifer. The proposed parenting schedule provides Jennifer with alternating weekends, all school holidays, and six weeks of summer parenting time. This schedule ensures that Jennifer maintains a meaningful and ongoing relationship with the children while preserving the children's day-to-day stability in Eagle River.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emphasized that custody determinations must serve the children's best interests as their primary and overriding consideration. See Faulkner v. Goldfuss, 46 P.3d 993 (Alaska 2002); Bergstrom v. Lindback, 779 P.2d 1235 (Alaska 1989). Under the facts presented, the primary physical custody arrangement proposed by Priya best serves the children's interests in stability, continuity, education, and consistent caregiving.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Calculate Child Support Under Civil Rule 90.3(a) Based on Jennifer's Income as a Licensed Electrician.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Priya seeks primary physical custody of the two minor children, child support should be calculated under Civil Rule 90.3(a), which governs awards in cases where one parent is awarded primary physical custody. Under that rule, the support award equals the non-custodial parent's adjusted annual income multiplied by the applicable statutory percentage. For two children, the applicable percentage is 27%.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certain enumerated deductions, including mandatory tax withholdings, Social Security and Medicare contributions, mandatory union dues, mandatory retirement contributions, limited voluntary retirement contributions, work-related child care expenses for the children at issue, and qualifying health insurance premiums.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is a licensed electrician and is capable of earning income commensurate with that profession. The Court should calculate Jennifer's adjusted annual income based on her actual earnings or, if the Court finds that Jennifer is voluntarily and unreasonably underemployed, based on her earning potential in the electrician trade. Civil Rule 90.3(a)(4) authorizes the court to calculate child support based on a determination of potential income for a parent who voluntarily and unreasonably is unemployed or underemployed.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Rule 90.3 formula is designed to ensure that child support orders are adequate to meet the needs of children, subject to the ability of parents to pay, and to produce predictable and consistent awards. See Ruppe v. Ruppe, 358 P.3d 1284 (Alaska 2015). The formula reflects the children's need for financial support consistent with the non-custodial parent's means. Jennifer, as a licensed trades professional, has a demonstrated earning capacity, and Priya respectfully requests that the Court apply the Rule 90.3(a) formula based on a thorough examination of Jennifer's income documentation.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ultimately award shared physical custody rather than primary physical custody to Priya, the support calculation would proceed instead under Civil Rule 90.3(b), which applies a different formula accounting for each parent's adjusted annual income and the percentage of time each parent has physical custody. See Gorton v. Mann, 281 P.3d 81 (Alaska 2012); Rowen v. Rowen, 963 P.2d 249 (Alaska 1998). Under the shared custody formula, the parent with the larger calculated obligation becomes the obligor, and the annual award equals the difference between the two figures multiplied by 1.5. See Civil Rule 90.3(b). Priya submits that the primary custody formula is the appropriate one under the proposed parenting plan, but acknowledges the Court's authority to apply the shared custody formula if circumstances warrant.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Regardless of which formula applies, any child support order should be consistent with the statutory authority under AS 25.24.160(a)(1), which provides that the court may require payment of an amount of money, in gross or installments, as may be just and proper for the parties to contribute toward the nurture and education of their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Award Priya the Eagle River Family Home and Divide the Remaining Marital Estate Equitably.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marital property in a dissolution proceeding is governed by AS 25.24.160(a)(4), which requires the court to divide the parties' property acquired during marriage in a just manner, taking into account all relevant statutory factors. The Alaska Supreme Court has confirmed that property division must fairly allocate the economic effect of divorce and that courts have broad discretion in doing so. See Sharon Thompson v. Everett Thompson, 454 P.3d 981 (Alaska 2019);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factors the court must consider under AS 25.24.160(a)(4) is the desirability of awarding the family home, or the right to live in it for a reasonable period of time, to the party who has primary physical custody of children. This factor directly and powerfully supports awarding the Eagle River family home to Priya. The two minor children have lived in that home their entire lives. Their schools and community connections are rooted in Eagle River. Allowing Priya to remain in the home with the children preserves the continuity and stability that serve both the children's best interests and the equitable goals of property division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Eagle River home is valued at approximately $380,000 with a remaining mortgage of approximately $210,000, yielding equity of approximately $170,000. Priya proposes that she be awarded the home, assume responsibility for the remaining mortgage, and that Jennifer receive an offset of approximately $85,000 representing her proportionate share of the equity, either through a cash payment, an offset against other marital assets, or a deferred equity payment structured to protect both parties'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also includes two vehicles, a joint savings account of approximately $14,000, and approximately $28,000 in shared credit card debt. Priya requests that the Court divide these assets and liabilities equitably, considering the statutory factors enumerated in AS 25.24.160(a)(4), including the length of the marriage, the earning capacity of the parties, the financial condition of each party, and the circumstances and necessities of each party. The marriage lasted approximately nine years, a period of moderate duration. Jennifer, as a licensed electrician, has a stronger immediate earning capacity than Priya, who has served as the primary caregiver during the marriage and whose earning capacity has been affected by the time spent in that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consider the availability and cost of health insurance for both parties and the financial obligations each will carry going forward, including the mortgage and ongoing child-rearing expenses. See AS 25.24.160(a)(4). An equitable division of the remaining liquid assets and shared debt should account for the disproportionate financial burden Priya will carry as the primary residential parent responsible for the children's day-to-day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under AS 25.24.220(d)(3), the court is required to examine whether written agreements relating to division of property are just and that the spousal maintenance and division of property fairly allocate the economic effect of dissolution, taking into consideration the factors listed in AS 25.24.160(a)(2) and (4). Because the parties have not reached agreement on property division, Priya respectfully requests that the Court make findings and enter orders consistent with these statutory standards.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Any Modification of Custody or Child Support in the Future Must Be Based on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has represented her intention to return to the Anchorage area within six months. If Jennifer does relocate, she may seek modification of the parenting schedule at that time by demonstrating a material change in circumstances. Under AS 25.24.170, the court may modify provisions of a judgment relating to custody, visitation, or child support upon a showing of changed circumstances. Similarly, under AS 25.24.150, the court retains continuing jurisdiction to modify custody orders throughout the minority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child support would also require a material change in circumstances. Under AS 25.24.170(b), for purposes of a motion to modify child support, the adoption of guidelines or a significant amendment to guidelines constitutes a material change in circumstances. A future relocation by Jennifer, if it results in a custody modification, could also trigger a recalculation of child support under the appropriate formula at that time. See Bunn v. House, 934 P.2d 753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respectfully submits that future contingencies should not govern the present custody order. The Court should enter a custody and support order based on present circumstances, preserving the right of either party to seek modification upon a genuine and verified material change.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Priya Bergstrom respectfully requests that this Court enter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Awarding joint legal custody to both parties, with primary physical custody to Priya Bergstrom, and parenting time to Jennifer Bergstrom consisting of alternating weekends, school holidays, and six weeks each summer, consistent with AS 25.24.150 and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Calculating Jennifer Bergstrom's child support obligation under Civil Rule 90.3(a) based on her adjusted annual income as a licensed electrician, at the applicable rate of 27%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Awarding the Eagle River family home to Priya Bergstrom, with Priya assuming the remaining mortgage obligation and Jennifer receiving an equitable offset reflecting her share of the marital equity, pursuant to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Dividing the remaining marital assets, including the two vehicles and the joint savings account, and allocating the shared credit card debt equitably between the parties, consistent with the factors enumerated in AS 25.24.160(a)(4);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Retaining jurisdiction to modify custody and child support upon a verified material change in circumstances, pursuant to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respectfully urges the Court to enter these orders in the best interests of the minor children and in accordance with Alaska law governing dissolution proceedings.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2026-08-16T18:46:32.027Z</dcterms:created>
  <dcterms:modified xsi:type="dcterms:W3CDTF">2026-08-16T18:46:32.027Z</dcterms:modified>
</cp:coreProperties>
</file>

<file path=docProps/custom.xml><?xml version="1.0" encoding="utf-8"?>
<Properties xmlns="http://schemas.openxmlformats.org/officeDocument/2006/custom-properties" xmlns:vt="http://schemas.openxmlformats.org/officeDocument/2006/docPropsVTypes"/>
</file>