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concerns a petition for dissolution of marriage filed by Petitioner Elena Sutter in the Third Judicial District Superior Court, Anchorage, Alaska. The parties, Elena Sutter and Jennifer Sutter, were married in Anchorage in 2015 and are the parents of two minor children, currently ages six and nine. The marriage broke down irretrievably over the course of the past two years due to irreconcilable differences, including prolonged conflict over finances and differing parenting philosophies. The parties have been physically separated for approximately eight months, during which time the children have experienced significant residential instability.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principal disputes remain unresolved: (1) the appropriate physical custody arrangement for the two minor children; (2) the proper calculation of child support under the Alaska Child Support Guidelines; and (3) the division of the marital estate, including the family home located in Eagle River, a shared vehicle, and jointly accumulated marital debt. Petitioner Elena Sutter respectfully submits this brief to address each dispute in turn, explaining why the evidence and governing Alaska law support her proposed custody arrangement, her position on child support, and her request to retain the family home by buying out Respondent Jennifer Sutter's interest.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and Jennifer Sutter were married on or about 2015 in Anchorage, Alaska. Two children were born of the marriage: one currently age nine and one currently age six. Over the past two years, the marriage deteriorated due to irreconcilable differences encompassing persistent financial conflict and fundamentally incompatible parenting philosophies. Elena filed a petition for dissolution in the Third Judicial District Superior Court pursuant to AS 25.24.200 and AS 25.24.210.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been physically separated for approximately eight months. During this period, the children's residential schedule has been unstable, causing disruption to their daily routines, schooling, and overall well-being. Both parties have retained separate legal counsel. Both parties agree that an expedited custody evaluation is in the best interests of the children, given the ongoing residential instability the children have experienced since the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that the children reside primarily with her during the school week, with Jennifer exercising parenting time every other weekend and one weeknight per week. Elena and Jennifer would share joint legal custody. Jennifer, by contrast, seeks a week-on, week-off equal residential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child support, Jennifer disputes the applicable calculation, arguing that Elena's recent promotion and resulting increase in gross monthly income should reduce Jennifer's child support obligation under the Alaska Child Support Guidelines. The precise income figures are subject to pending financial disclosure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jointly own a four-bedroom home in Eagle River titled in both names, carrying approximately $120,000 in equity. They also share a vehicle and have accumulated approximately $34,000 in combined credit card and personal loan debt during the marriage. Elena seeks to retain the family home by buying out Jennifer's interest. Jennifer contends the home should be sold and the net proceeds divided equally, and further argues that each party should bear responsibility for debts incurred in her own name during the final year of the marriage.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evaluating petitions for dissolution must examine the written agreements and disputed issues between the parties under AS 25.24.220. Where both spouses have retained counsel and minor children are involved, the court applies a heightened level of scrutiny to all agreements pursuant to AS 25.24.220(h), specifically reviewing whether agreements are just, constitute the entire agreement between the parties, and are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Physical custody determinations, including whether to award shared custody, are governed by AS 25.20.090, which directs the court to consider the child's preference if the child is of sufficient age and capacity, the needs of the child, the stability of the home environment likely to be offered by each parent, educational considerations, the advantages of keeping the child in the current community, the optimal time for the child to spend with each parent, evidence of domestic violence or substance abuse, and any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calculated pursuant to Civil Rule 90.3. Under Civil Rule 90.3(a), in cases involving primary physical custody, the non-custodial parent's adjusted annual income is multiplied by the applicable percentage: 27% for two children. Under Civil Rule 90.3(b), if the parents exercise shared physical custody as defined by Civil Rule 90.3(f), a different formula applies. Civil Rule 90.3(f) defines shared physical custody as the children residing with a parent for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is governed by AS 25.24.160(a)(4), which requires a just division of property acquired during the marriage based on consideration of multiple statutory factors, including the length of the marriage, the age and health of the parties, earning capacity, financial condition of the parties, conduct of the parties, the desirability of awarding the family home to the party with primary physical custody of the children, the circumstances and necessities of each party, the time and manner of acquisition of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Financial disclosure obligations in dissolution proceedings are governed by Civil Rule 26.1(b), which requires each party to provide comprehensive financial documentation without awaiting a discovery request, including tax returns, pay stubs, bank account statements, debt documentation, and employment benefit information.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PRIMARY PHYSICAL CUSTODY ARRANGEMENT IS IN THE BEST INTERESTS OF THE CHILDREN AND SHOULD BE ADOPTED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directs the court, when evaluating whether to award shared custody, to consider the full constellation of factors set forth in AS 25.20.090. Taken together, those factors support Elena's proposed custody arrangement, under which the children reside with Elena during the school week and spend parenting time with Jennifer every other weekend and one weeknight per week, with both parents sharing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Need for Stability Strongly Favors a School-Week Primary Placement with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25.20.090(2) directs the court to consider the needs of the child, and AS 25.20.090(3) requires consideration of the stability of the home environment likely to be offered by each parent. The children, ages six and nine, are at formative educational and developmental stages. They have already experienced approximately eight months of residential instability since the parties' physical separation. Elena's proposed arrangement centers the children's weekdays and schooling around a consistent primary residence, which directly addresses the instability the children have experienced.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25.20.090(4) calls for consideration of the education of the child. A school-week primary placement ensures that the children maintain consistent routines critical to academic performance, including regular bedtimes, homework schedules, attendance at school events, and relationships with teachers and peers. Frequent residential transitions on a week-on, week-off basis, as Jennifer proposes, risk disrupting these routines and may compound the educational and emotional difficulties the children are already navigating.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25.20.090(5) instructs the court to consider the advantages of keeping the child in the community where the child presently resides. Elena's proposed arrangement allows the children to remain rooted in their current school and community setting without the week-long absences from their primary support networks that a strictly equal alternating-week schedule would entail.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Optimal Time Each Child Spends with Each Parent Favors Elena's Proposed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 requires the court to evaluate the optimal time for the child to spend with each parent, taking into account the actual time spent with each parent, proximity of each parent to the other and to the children's school, feasibility of travel between households, and the willingness and ability of each parent to facilitate a close and continuing relationship between the other parent and the child. Elena's proposal affords Jennifer meaningful and regular contact, including every other weekend and a mid-week visit, preserving Jennifer's parental relationship while prioritizing continuity for the children during the school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Both Parties Agree an Expedited Custody Evaluation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Elena and Jennifer agree that an expedited custody evaluation is in the best interests of the children. The court has authority under AS 25.24.220(f) to appoint a guardian ad litem to represent the best interests of the children. The court should direct that any evaluation be completed on an expedited basis in light of the residential instability the children have already endured, and should consider the evaluator's findings and recommendations in accordance with AS 25.20.090(7).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custody determinations require careful, individualized analysis of all relevant factors, and that a child's well-being must remain the paramount consideration. See Helen S.K. v. Samuel M.K., 288 P.3d 463 (Alaska 2012). The weight of the statutory factors, applied to the facts of this case, supports primary physical placement with Elena during the school week as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CALCULATED IN ACCORDANCE WITH CIVIL RULE 90.3 USING ACCURATE, FULLY DISCLOSED INCOME INFORMATION FROM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obligation between the parties depends first on the custody arrangement adopted by the court, because the formula differs depending on whether the children are in primary physical custody or shared physical custody as defined under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If the Court Adopts Elena's Proposed Primary Physical Custody Arrangement, Child Support Is Calculated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a child support award in a primary physical custody case is calculated by multiplying the non-custodial parent's adjusted annual income by the applicable percentage. For two children, that percentage is 27% (.27). "Adjusted annual income as used in this rule means the parent's total income from all sources minus" the deductions enumerated in Civil Rule 90.3(a)(1), including mandatory taxes, Social Security contributions, mandatory union dues, mandatory retirement contributions, voluntary retirement contributions within specified limits, child or spousal support from different relationships, work-related child care expenses for the subject children, and health insurance premiums.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argument that Elena's recent promotion should reduce Jennifer's child support obligation misunderstands the operation of Civil Rule 90.3(a). Under the primary physical custody formula, it is the non-custodial parent's adjusted annual income that drives the calculation. Elena's income is relevant as an independent factor only in certain limited contexts, such as the low-income adjustment under Civil Rule 90.3(a)(5) or an argument that deviation from the guidelines is warranted under the unusual circumstances provision. Jennifer has not articulated a valid basis for departure from the standard calculation. Her obligation must be computed based on her own adjusted annual income, not reduced simply because Elena has received a promotion.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permits the court to calculate child support based on potential income if a parent "voluntarily and unreasonably is unemployed or underemployed." No such allegation has been made with respect to either party at this time. The court should compute support based on each party's actual adjusted annual income as disclosed pursuant to Civil Rule 26.1(b).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If the Court Were to Adopt a Shared Physical Custody Arrangement, Child Support Would Be Calculated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instead adopt Jennifer's proposed week-on, week-off schedule, child support would be calculated under Civil Rule 90.3(b)(1), the shared physical custody formula. Under that provision, the court first calculates what each parent would owe the other assuming the other had primary custody, then multiplies each figure by the percentage of time the other parent has physical custody, and determines the net obligation based on the difference between those two figures, multiplied by 1.5. In that scenario, both parties' incomes would directly affect the support calculation, and Elena's promotion would be a factor. However, as argued above, the facts of this case do not support a shared physical custody arrangement, and this alternative calculation should not apply.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Both Parties Must Fulfill Their Financial Disclosure Obligations Before Child Support Is Finalized.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26.1(b) imposes mandatory initial disclosure obligations on each party in a dissolution action without awaiting a discovery request. Each party must provide, among other things, federal tax returns for the past three years including all schedules and attachments, pay stubs or other proof of income from all sources for the past two months, and signed releases authorizing the other party to obtain earnings and employee benefit information from the party's current employer. The disclosure obligation under Civil Rule 26.1(b)(1)(J) expressly includes "pay stubs, vouchers, or other similar proof of income from all sources for the past two months," encompassing the income from Elena's promoted position. Neither party may calculate or contest a support figure until both have fully complied with these disclosure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accurate income information is essential to a proper support determination. See Brown v. Brown, 914 P.2d 206 (Alaska 1996). Elena respectfully requests that the court order both parties to complete their Civil Rule 26.1(b) disclosures on an expedited schedule so that accurate child support may be determined promptly.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MUST BE DIVIDED JUSTLY UNDER AS 25.24.160, AND ELENA SHOULD BE AWARDED THE FAMILY HOME OR, AT MINIMUM, THE RIGHT TO REMAIN IN IT FOR A REASONABLE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the court to divide marital property "in a just manner" based on consideration of a comprehensive set of statutory factors. The court must consider: the length of the marriage and station in life of the parties; the age and health of the parties; the earning capacity of the parties; the financial condition of the parties; the conduct of the parties, including unreasonable depletion of marital assets; the desirability of awarding the family home to the party with primary physical custody of the children;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Elena Should Be Awarded the Family Home in Light of Her Proposed Primary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expressly directs the court to consider "the desirability of awarding the family home, or the right to live in it for a reasonable period of time, to the party who has primary physical custody of children." This statutory factor is directly applicable here. Elena seeks primary physical custody of the parties' two minor children, ages six and nine. The four-bedroom family home in Eagle River is the children's established residence and provides the spatial and environmental stability the children require, particularly given the residential disruption they have experienced during the eight months since the parties'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this statutory factor carries genuine weight in property division analysis. In Hanlon v. Hanlon, 871 P.2d 229 (Alaska 1994), the court held that a trial court is required not only to consider whether to award the family home outright to the primary custodial parent, but also to consider whether that parent should at minimum be permitted to remain in the home for a reasonable period of time. In Silvan v. Alcina, 105 P.3d 117 (Alaska 2005), the court explained that where shared physical custody applies, the statutory preference for awarding the family home to the primary custodian may not be triggered in the same way; by contrast, where one parent has clear primary physical custody, the factor applies with full force.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Awarding the family home to Elena supports the continuity and stability that the children urgently need. The children's school is in the Eagle River community. Displacing them from the family home would add further disruption to lives already marked by residential instability. AS 25.24.160(a)(4)(F) and the interests of the children weigh clearly in favor of awarding the home to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Elena's Proposed Buyout of Jennifer's Interest Provides Jennifer with Fair Compensation While Preserving the Children's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to purchase Jennifer's interest in the family home, thereby providing Jennifer with her equitable share of the approximately $120,000 in existing equity, while avoiding the expense and disruption of a forced sale. This approach serves both the statutory mandate of a just property division under AS 25.24.160(a)(4) and the children's need for residential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trial courts possess broad discretion in structuring property divisions in ways that achieve equitable outcomes, including awarding one party a buyout of the other's interest rather than ordering a forced sale. See Fernau v. Rowdon, 42 P.3d 1047 (Alaska 2002); Partridge v. Partridge, 239 P.3d 680 (Alaska 2010). The court should consider the financial condition of each party, including the availability of financing for the buyout, in determining whether Elena can effectuate the buyout within a reasonable time frame.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position, that the home must be sold and proceeds divided equally, disregards the statutory preference for awarding the family home to the primary custodial parent and fails to account for the harm that a forced sale and relocation would cause the children. While an equal division of proceeds may be just in some circumstances, it is not the only just result, and the statutory factors in AS 25.24.160(a)(4) make clear that equal division is not required. The Alaska Supreme Court has recognized that an unequal property division may be warranted where the circumstances of the parties and the needs of the children support it. See Green v. Green, 29 P.3d 854 (Alaska 2001); Fernau v. Rowdon, 42 P.3d 1047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Allocation of Marital Debt Must Be Determined Based on the Totality of Statutory Factors, Not Solely on Which Party Incurred Each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approximately $34,000 in combined credit card and personal loan debt accumulated during the marriage. Jennifer proposes that each party bear responsibility for debts incurred in her own name during the final year of the marriage. Elena does not concede that this approach is equitable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a just division of all marital property, including the allocation of marital obligations. The statute does not limit the analysis to debts incurred in the final year or to debts in each party's name. Rather, the court must consider the totality of factors, including the financial condition of each party, the circumstances and necessities of each party, and the conduct of the parties. Debts incurred during the marriage for joint household purposes are marital obligations regardless of whose name appears on the account. See Green v. Green, 29 P.3d 854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evaluate the nature and purpose of each debt, the ability of each party to service debt obligations post-dissolution given their respective incomes and financial circumstances, and the overall equity of the division in light of the complete property and debt picture. Elena reserves the right to present detailed evidence regarding the purpose and circumstances of each debt obligation at the evidentiary hearing.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MUST APPLY HEIGHTENED SCRUTINY BECAUSE BOTH PARTIES ARE REPRESENTED BY COUNSEL AND MINOR CHILDREN ARE INVOLVED.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25.24.220(h) directs the court to apply a heightened level of scrutiny in its examination of any agreements submitted in connection with a dissolution petition when, among other circumstances, both parties are represented by counsel and the other is not, or when there is a minor child of the marriage. In this case, both parties have retained separate legal counsel and there are two minor children. Pursuant to AS 25.24.220(h)(3), the court is required to apply heightened scrutiny to all written agreements between the parties concerning child custody, child support, visitation, and property division, examining whether those agreements are just, constitute the entire agreement between the parties, and are in the best interests of the children. The court should therefore carefully examine any proposed parenting plan or property settlement to confirm that it satisfies these heightened requirements before approving it.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Adopt Elena's proposed custody arrangement, awarding Elena primary physical custody of the two minor children with the children residing with her during the school week, Jennifer exercising parenting time every other weekend and one weeknight per week, and both parties sharing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an expedited custody evaluation in accordance with the parties' joint agreement and the best interests of the children, and consider the evaluator's findings and recommendations pursuant to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both parties to complete their mandatory financial disclosures under Civil Rule 26.1(b) on an expedited schedule, and thereafter calculate Jennifer's child support obligation under Civil Rule 90.3(a) based on Jennifer's adjusted annual income with the applicable 27% percentage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Elena the family home in Eagle River, subject to Elena's payment of a buyout to Jennifer reflecting Jennifer's equitable share of the approximately $120,000 in equity, pursuant to AS 25.24.160(a)(4)(F) and the children's established interest in residential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Allocate marital debt equitably based on the totality of the statutory factors under AS 25.24.160(a)(4), without restricting the analysis to debts incurred in each party's name during the final year of the marriage;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Apply the heightened level of scrutiny required by AS 25.24.220(h) to all agreements submitted by the parties in connection with this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Respectfully submitted.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2026-08-16T18:50:37.164Z</dcterms:created>
  <dcterms:modified xsi:type="dcterms:W3CDTF">2026-08-16T18:50:37.164Z</dcterms:modified>
</cp:coreProperties>
</file>

<file path=docProps/custom.xml><?xml version="1.0" encoding="utf-8"?>
<Properties xmlns="http://schemas.openxmlformats.org/officeDocument/2006/custom-properties" xmlns:vt="http://schemas.openxmlformats.org/officeDocument/2006/docPropsVTypes"/>
</file>