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(doc-0036)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Bergstrom, Petitioner, respectfully submits this brief in support of her petition for dissolution of marriage filed against Respondent Wesley Bergstrom in the Superior Court for the State of Alaska, Third Judicial District at Anchorage. The parties were married for nine years and share two minor children, ages four and seven. Following a separation in March 2024 caused by irreconcilable differences arising from Wesley's prolonged work absences and persistent disputes over finances and parenting priorities, Elena now seeks a final decree of dissolution, an equitable division of the marital estate, transitional spousal maintenance, and a child support award calculated in accordance with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proposed dissolution agreement addresses all required subjects: child custody, visitation, child support, spousal maintenance, division of real and personal property, and allocation of marital debt. Elena respectfully requests that this Court review and approve the parties' agreements, enter a final decree of dissolution, and order the relief set forth herein.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Bergstrom and Wesley Bergstrom were married in Anchorage, Alaska, and remained married for approximately nine years before physically separating in March 2024. The parties are the parents of two minor children: a seven-year-old and a four-year-old. Throughout the marriage, Wesley worked as an oil field contractor, a position that required extended and repeated absences from the family home. These prolonged absences, combined with ongoing disagreements over financial management and parenting priorities, caused the irremediable breakdown of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has served as the primary caregiver for the children throughout the marriage, particularly during Wesley's periods of absence. She is currently employed part-time as a dental hygienist earning approximately $38,000 per year. Wesley earns approximately $112,000 per year through his oil field contracting work.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consists of the family home located in Eagle River, Alaska, which carries an estimated equity of $95,000; two motor vehicles; a joint savings account; and approximately $28,000 in credit card debt. The parties have reached a proposed agreement under which Elena will retain the family home and will refinance the mortgage solely in her name within 120 days of the entry of the final decree of dissolution. The remaining marital assets and the credit card debt are to be divided equally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Regarding custody and parenting time, the parties have proposed a joint legal custody arrangement. The children will reside primarily with Elena during the school year. Wesley will have parenting time every other weekend during the school year and will have the children for six consecutive weeks each summer. Holiday parenting time will alternate between the parties on an annual basis. Elena requests that child support be set in accordance with Civil Rule 920 based on the primary physical custody arrangement and the parties' respective incomes. Elena further seeks transitional spousal maintenance for a period of two years to permit her to transition to full-time employment and achieve greater financial independence following the dissolution.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petition for dissolution of marriage may be filed jointly by both spouses under AS 25.24.200, provided that certain enumerated conditions are satisfied at the time of filing. These conditions include: that incompatibility of temperament has caused the irremediable breakdown of the marriage; that the parties have agreed on custody, visitation, and child support where minor children are involved; that the parties have agreed on the division of all real and personal property, spousal maintenance, and allocation of debts; and that the agreement fairly allocates the economic effect of dissolution consistent with the factors enumerated in AS 25.24.160(a)(2) and (4). See AS 25.24.983.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25.24.210, the petition must be filed with the superior court, signed and verified by both petitioners, and must state in detail the terms of the parties' agreements on all required subjects, including custody, child support, visitation, spousal maintenance, and property division. See AS 25.24.210(b)(1), (e).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hearing is required under AS 25.24.220, at which the court must examine the petitioners and determine, among other things, whether the parties fully understand the nature and consequences of their action; whether the written agreements on child custody, support, and visitation are just and in the best interests of the children; and whether the agreements on property division and maintenance fairly allocate the economic effect of dissolution. See AS 25.24.220(d).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one party is represented by counsel and the other may not be, and because there are minor children of the marriage, the court is required by AS 25.24.985 to apply a heightened level of scrutiny to the parties' agreements. Under that heightened scrutiny, the court must examine the agreements to ensure they are just, constitute the entire agreement of the parties, and that provisions regarding child custody, support, and visitation are in the best interests of the children. See AS 25.24.220(i).</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may grant a final decree of dissolution if, upon consideration of the petition and testimony, it makes the requisite findings set forth in AS 25.24.230. For a joint petition subject to heightened scrutiny, those findings include that the parties fully understand the consequences of their action; that the child-related agreements are in the children's best interests and just between the parties; that the property and maintenance agreements are just and fairly allocate the economic effect of dissolution; that each party entered the agreement voluntarily; and that the conditions of AS 25.24.200(a) have been met. See AS 25.24.230(b).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is governed by Civil Rule 90.3. Where one parent is awarded primary physical custody, the support award is calculated by multiplying the non-custodial parent's adjusted annual income by the applicable percentage: 20% for one child, and 27% for two children. See Civil Rule 90.3(a)(2)(A), (B). The Alaska Supreme Court has recognized that the Rule 90.3 formula is designed to ensure that child support orders are adequate to meet children's needs and produce predictable, consistent awards. See Ruppe v. Ruppe, 358 P.3d 1284 (Alaska 2015).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Property division in a dissolution must fairly allocate the economic effect of dissolution by considering the factors listed in AS 25.24.160(a)(2) and (4), including the length of the marriage, the age and health of the parties, earning capacity, financial condition, conduct of the parties, and the desirability of awarding the family home to the party who has primary physical custody of the children. See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Spousal maintenance must also fairly allocate the economic effect of dissolution and must be based on the factors enumerated in AS 25.24.160(a)(2), including the length of the marriage, the station in life of the parties, their respective earning capacities, and their financial conditions. See AS 25.24.160(a)(2). The Alaska Supreme Court has recognized that spousal maintenance and property division serve distinct purposes and are not interchangeable. See Ruppe v. Ruppe, 358 P.3d 1284 (Alaska 2015).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CONDITIONS FOR DISSOLUTION UNDER AS 25.24.200(a) ARE SATISFIED.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petition meets each condition required by AS 25.24.200(a) for a joint dissolution of marriage. First, the parties have experienced an irremediable breakdown of their marriage caused by incompatibility of temperament, as evidenced by their March 2024 separation following years of conflict over Wesley's extended work absences and recurring disagreements about finances and parenting. The breakdown of the marriage is final, and reconciliation is not a realistic prospect.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the parties have reached a complete and detailed written agreement concerning the custody, visitation, and support of their two minor children, ages four and seven. The agreement addresses joint legal custody, primary physical custody with Elena during the school year, defined parenting time with Wesley on alternating weekends and for six consecutive summer weeks, alternating holiday schedules, and a child support arrangement to be calculated under Civil Rule 90.3. The Alaska Supreme Court has emphasized the importance of ensuring that custody and support arrangements serve the children's best interests, and those interests are protected here by an arrangement that preserves continuity of care while ensuring meaningful and regular contact with both parents. See Brown v. Brown, 914 P.2d 206 (Alaska 1996); Faulkner v. Goldfuss, 46 P.3d 993 (Alaska 2002).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the parties have agreed on the division of all real and personal property, including the family home, vehicles, joint savings account, and credit card debt, as well as the amount and duration of spousal maintenance. The agreement must fairly allocate the economic effect of dissolution and take into consideration the factors listed in AS 25.24.160(a)(2) and (4). As set forth in greater detail in the argument sections below, the proposed agreements satisfy this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Fourth, the parties have agreed on the payment of outstanding joint obligations, including the $28,000 in credit card debt, to be divided equally.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PROPOSED CHILD CUSTODY AND PARENTING TIME ARRANGEMENT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proposed parenting arrangement reflects a thoughtful and child-centered approach to custody. Under the agreement, Elena will have primary physical custody of the children during the school year, providing continuity and stability for two young children who are at formative stages of their development. Wesley will have parenting time every other weekend and for six consecutive weeks in the summer, ensuring that the children maintain a close and meaningful relationship with their father despite his demanding work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custody arrangements must be evaluated by reference to the best interests of the children, and that courts are not bound by parental agreements when those agreements do not serve that standard. See Faulkner v. Goldfuss, 46 P.3d 993 (Alaska 2002). Here, the proposed arrangement provides the children with a stable primary residence and school-year routine while also preserving substantial and predictable contact with Wesley. The alternating holiday schedule ensures that both parents share meaningful time with the children throughout the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in reviewing the parties' agreement under the heightened scrutiny required by AS 25.24.220(h) and (i), should find that the custody and parenting time provisions are just between the parties and serve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CHILD SUPPORT SHOULD BE CALCULATED UNDER CIVIL RULE 90.3(a) BASED ON WESLEY'S ADJUSTED ANNUAL INCOME AND THE PRIMARY PHYSICAL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children will reside primarily with Elena during the school year, the applicable child support formula is that set forth in Civil Rule 90.3(a), which governs cases involving primary physical custody. Under Civil Rule 90.3(a)(2)(B), the support award for two children is calculated by multiplying the non-custodial parent's adjusted annual income by 27%.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 earns approximately $112,000 annually from his oil field contracting work. His adjusted annual income under Civil Rule 90.3(a)(1) is calculated by subtracting from his gross income any mandatory deductions, including applicable federal and state income taxes, Social Security tax, Medicare tax, mandatory union dues, and mandatory contributions to any retirement or pension plan, as well as any voluntary retirement contributions (subject to the 7.5% cap), and work-related child care expenses for the subject children. See Civil Rule 90.3(a)(1)(A) through (G). Elena respectfully requests that the court conduct or approve a Rule 90.3 calculation based on Wesley's verified income and allowable deductions, and enter a child support order consistent with that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addressed the role of Civil Rule 90.3 in ensuring adequate and consistent child support in Ruppe v. Ruppe, 358 P.3d 1284 (Alaska 2015), recognizing that the formula serves the dual goals of meeting children's needs and producing predictable awards. Similarly, in Bergstrom v. Lindback, 779 P.2d 1235 (Alaska 1989), the court addressed the proper calculation of adjusted annual income and confirmed that mandatory deductions must be accurately applied to arrive at the correct support obligation. In Sharon Thompson v. Everett Thompson, 454 P.3d 981 (Alaska 2019), the court further examined how income history and earning capacity inform the Rule 90.3 calculation, particularly where one parent's income fluctuates or where earning capacity is in dispute.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earns approximately $38,000 per year as a part-time dental hygienist. The court should also consider whether Elena's income should be factored into any deviation analysis, and whether her reduced earnings during the transitional period following dissolution warrant any adjustment consistent with Civil Rule 90.3(a)(4) regarding imputation of potential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may also consider whether Wesley is entitled to any credit or adjustment for the six-week summer parenting period under Civil Rule 90.3(a)(3), which permits the court to allow the obligor parent to reduce child support payments by up to 75% for any period in which the obligor parent has extended visitation of over 27 consecutive days. If Wesley's six-week summer period qualifies as extended visitation under this provision, the order should specify the amount of any allowable reduction and the conditions under which it applies. See Civil Rule 90.3(a)(3).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PROPOSED PROPERTY DIVISION FAIRLY ALLOCATES THE ECONOMIC EFFECT OF DISSOLUTION CONSISTENT WITH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proposed division of the marital estate is just and equitable and satisfies the requirements of AS 25.24.160(a)(4). The marital estate consists of the family home in Eagle River with an estimated equity of $95,000, two vehicles, a joint savings account, and approximately $28,000 in credit card debt.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the agreement, Elena will retain the family home. She will refinance the mortgage solely in her name within 120 days of entry of the final decree, thereby removing Wesley from any further obligation on that debt. The remaining marital assets and the credit card debt will be divided equally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award of the family home to Elena is consistent with the statutory factor set forth in AS 25.24.160(a)(4)(F), which directs the court to consider "the desirability of awarding the family home, or the right to live in it for a reasonable period of time, to the party who has primary physical custody of children." Because Elena will have primary physical custody of the two children during the school year, retaining the family home serves both her interests and the stability and continuity of the children's living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 statutory factors under AS 25.24.160(a)(4) support the proposed division. The parties were married for nine years, a significant duration during which Elena scaled back her professional career to serve as the primary caregiver for the children while Wesley pursued higher-earning employment in the oil field industry. See AS 25.24.160(a)(4)(A) (length of marriage and station in life); AS 25.24.160(a)(4)(C) (earning capacity and custodial responsibilities during marriage); AS 25.24.160(a)(4)(G) (circumstances and necessities of each party). Elena's comparatively lower earning capacity and her ongoing custodial responsibilities make the proposed division, with Elena receiving the family home as her primary asset, both fair and necessary to ensure that the economic effect of dissolution is equitably shared.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affirmed that property division must fairly allocate the economic consequences of dissolution by reference to the full set of statutory factors. See Brown v. Brown, 914 P.2d 206 (Alaska 1996). The proposed division here accomplishes that goal.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REQUEST FOR TRANSITIONAL SPOUSAL MAINTENANCE IS JUSTIFIED UNDER AS 25.24.160(a)(2).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requests spousal maintenance for a transitional period of two years following the final decree of dissolution. This request is grounded in the significant economic disparity between the parties and in the statutory factors governing maintenance awards under AS 25.24.160(a)(2).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relevant statutory factors include: the length of the marriage and the station in life of the parties; the age and health of the parties; the earning capacity of the parties, including educational backgrounds, training, employment skills, work experience, and custodial responsibilities during the marriage; and the financial condition of the parties, including the availability and cost of health insurance. See AS 25.24.160(a)(2)(A) through (G).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Each of these factors supports Elena's maintenance request. The parties were married for nine years. Throughout the marriage, Elena worked part-time in order to assume primary caregiving responsibilities for the children, sacrificing professional advancement and full-time income in support of the marital unit. Wesley, by contrast, built a career as an oil field contractor earning approximately $112,000 per year. At the time of dissolution, Elena earns only $38,000 annually on a part-time basis, roughly one-third of Wesley's income. The income gap is directly attributable in part to Elena's reduced professional engagement during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Two years of transitional maintenance would allow Elena to seek and obtain full-time employment as a dental hygienist, potentially completing any additional training or credentialing necessary to return to full-time work, and to stabilize her financial situation while maintaining the family home and meeting the daily needs of two young children. The maintenance award does not seek to make the parties economically equal indefinitely; rather, it seeks to bridge a defined transitional period with a limited and time-bound award.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spousal maintenance and property division serve distinct purposes and are not interchangeable. See Ruppe v. Ruppe, 358 P.3d 1284 (Alaska 2015). Because the property division alone does not fully remedy the economic disparity created by Elena's reduced earning capacity and career interruption during the marriage, a supplemental award of transitional maintenance for a period of two years is both warranted and consistent with the mandate of AS 25.24.160(a)(2) that maintenance "fairly allocate the economic effect of divorce."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THE COURT SHOULD APPLY HEIGHTENED SCRUTINY AND FIND THE AGREEMENTS JUST AND IN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previously noted, AS 25.24.220(h) requires the court to apply a heightened level of scrutiny to the parties' written agreements in this proceeding because there are minor children of the marriage. Under AS 25.24.220(i), the court must examine the written agreements to determine that they are just, that they constitute the entire agreement between the parties, and that the provisions concerning child custody, child support, and visitation are in the best interests of the children of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respectfully submits that the agreements presented to the court satisfy each element of this heightened standard. The custody and parenting time provisions serve the children's need for stability, continuity, and meaningful contact with both parents. The child support provisions, once calculated under Civil Rule 90.3(a), will ensure that the children's financial needs are met in a manner consistent with their parents' respective incomes and custodial roles. The property division fairly allocates the marital estate in a manner that ensures the children remain in the family home during the school year. The spousal maintenance award addresses the economic imbalance created by Elena's caregiving role during the marriage without imposing an indefinite or disproportionate burden on Wesley.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agreements collectively constitute the entire agreement between the parties and were entered into voluntarily, without coercion or duress. Elena respectfully urges the court to make the findings required by AS 25.24.230(b) and to enter a final decree of dissolution as requested.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the foregoing reasons, Elena Bergstrom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the conditions for dissolution of marriage under AS 25.24.200(a) have been met;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Find that the parties' written agreements on child custody, parenting time, child support, property division, debt allocation, and spousal maintenance are just, equitable, and in the best interests of the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Enter a final decree of dissolution of the marriage of Elena Bergstrom and Wesley Bergstrom pursuant to AS 25.24.230(b);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Order child support to be paid by Wesley Bergstrom in an amount calculated under Civil Rule 90.3(a), based on his verified adjusted annual income and the primary physical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Order Wesley Bergstrom to pay transitional spousal maintenance to Elena Bergstrom for a period of two years in an amount to be determined by the court consistent with AS 25.24.160(a)(2);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Approve the proposed division of the marital estate, including the award of the family home in Eagle River to Elena Bergstrom, with Wesley Bergstrom to be removed from the mortgage within 120 days of the final decree, and equal division of the remaining assets and credit card debt;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Grant such other and further relief as the court deems just and proper under the circumstances.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2026-08-16T18:53:55.351Z</dcterms:created>
  <dcterms:modified xsi:type="dcterms:W3CDTF">2026-08-16T18:53:55.351Z</dcterms:modified>
</cp:coreProperties>
</file>

<file path=docProps/custom.xml><?xml version="1.0" encoding="utf-8"?>
<Properties xmlns="http://schemas.openxmlformats.org/officeDocument/2006/custom-properties" xmlns:vt="http://schemas.openxmlformats.org/officeDocument/2006/docPropsVTypes"/>
</file>