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(doc-0037)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arises from the dissolution of the marriage of Tomas Sutter and Maria Sutter, who were married in Anchorage, Alaska, in 2015. The parties have two minor children, aged five and eight, and the marriage has irretrievably broken down due to irreconcilable differences stemming from financial stress and extended periods of separation caused by Tomas's seasonal commercial fishing employment in Bristol Bay. The parties seek judicial resolution of four interrelated issues: (1) the establishment of a joint legal custody arrangement with primary physical custody in Maria; (2) calculation of child support in conformity with Alaska Civil Rule 947; (3) an equitable division of the marital estate, including the Eagle River family residence, joint savings, the commercial fishing vessel, and shared credit card debt; and (4) an order requiring Tomas to maintain health insurance coverage for the minor children as a condition of the final dissolution decree. This brief addresses each of those issues and demonstrates that the relief Maria requests is firmly grounded in Alaska statutory and case law.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Sutter and Maria Sutter were married in Anchorage, Alaska in 2015. The marriage produced two minor children, now aged five and eight. Over the course of approximately the past two years, the marriage deteriorated due to irreconcilable differences arising from financial stress and the parties' extended periods of physical separation while Tomas fulfilled seasonal commercial fishing contracts in Bristol Bay,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principal marital assets consist of the following: (1) the Eagle River family residence, purchased in 2017 during the marriage, currently carrying an estimated $80,000 in equity; (2) a joint savings account holding approximately $14,000; and (3) a commercial fishing vessel that Tomas values at $45,000 and which he uses as his primary income-generating tool during Bristol Bay fishing seasons. The parties also carry approximately $22,000 in combined credit card debt. Tomas maintains access to group health insurance coverage for dependents through his commercial fishing employer.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reached a tentative agreement on a general custody framework. Tomas proposes joint legal custody, with the children residing primarily with Maria at the Eagle River family residence during the school year. He would exercise parenting time on alternating weekends and for six consecutive weeks during the summer. Both parties acknowledge that child support must be calculated under Alaska Civil Rule 90.3 based on each parent's respective income and allowable deductions. Maria requests, as a condition of the final dissolution decree, that Tomas be required to maintain health insurance coverage for the children through his employer's group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dispute the characterization and distribution of the fishing vessel. Tomas contends it should be awarded to him in full because it is his primary source of livelihood. Maria contends that the vessel, acquired or substantially appreciated during the marriage, must be included in the overall calculation of equitable distribution of marital assets.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25.24.160, upon a judgment of divorce or dissolution, the court is authorized to provide for child support, spousal maintenance, division of marital property, and related relief. The division of marital property under AS 25.24.160(a)(4) must be made "in a just manner and without regard to which of the parties is in fault," and must "fairly allocate the economic effect of divorce" by considering a series of enumerated statutory factors, including the length of the marriage, the age and health of the parties, the earning capacity of each party, the financial condition of the parties, the desirability of awarding the family home to the primary custodial parent, the circumstances and necessities of each party, the time and manner of acquisition of the property, and the income-producing capacity of the property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Alaska is governed by Civil Rule 90.3(a), which provides that a child support award in a case where one parent holds primary physical custody shall be calculated by multiplying the non-custodial parent's adjusted annual income by the applicable percentage based on the number of children. Civil Rule 90.3(d) governs health insurance coverage for the children and provides that the court shall require health insurance if coverage is available to either parent at a reasonable cost and accessible to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reviewed property division decisions for abuse of discretion, affirming awards that reflect a thorough and properly weighted consideration of the statutory factors. Hooper v. Hooper, 188 P.3d 681 (Alaska 2008). The court in Zimin v. Zimin, 837 P.2d 118 (Alaska 1992), recognized that fluctuating income from commercial fishing must be carefully analyzed when determining a parent's adjusted annual income for child support purposes. The court in Dragseth v. Dragseth, 210 P.3d 1206 (Alaska 2009), and Sharon Thompson v. Everett Thompson, 454 P.3d 981 (Alaska 2019), further confirmed the court's broad discretion in assessing income from commercial fishing enterprises, including business income, in setting child support obligations.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COURT SHOULD ESTABLISH JOINT LEGAL CUSTODY WITH PRIMARY PHYSICAL CUSTODY IN MARIA AND A DEFINED PARENTING SCHEDULE FOR TOMAS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reached a tentative agreement on the general framework of a custody arrangement that serves the best interests of the two minor children. Under that framework, the children would remain in the Eagle River family home with Maria during the school year, Tomas would exercise parenting time on alternating weekends, and he would have six consecutive weeks of summer parenting time. Joint legal custody allows both parents to participate meaningfully in decisions affecting the children's welfare, education, and health, while the primary residential placement with Maria ensures continuity of schooling and daily routine for children aged five and eight.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25.24.160(a)(1) authorizes the court to provide "for the payment by either or both parties of an amount of money or goods, in gross or installments that may include cost-of-living adjustments, as may be just and proper for the parties to contribute toward the nurture and education of their children." The statute also reflects the legislature's broader concern that any court order following divorce or dissolution serve the welfare of the children affected. The proposed custody arrangement respects the children's need for stability while preserving a meaningful and ongoing parenting relationship with Tomas during periods when his fishing schedule permits.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25.24.200(a)(2), a dissolution petition filed by both spouses must include the spouses' agreement as to which spouse is to be awarded custody and the extent of visitation and support. The tentative custody framework articulated here satisfies those requirements and is consistent with the requirements for a valid dissolution agreement under AS 25.24.220(d)(2), which directs the court to examine whether "the written agreements between the spouses concerning child custody, child support, and visitation are just as between the spouses and in the best interests of the children of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Dragseth v. Dragseth, 210 P.3d 1206 (Alaska 2009), affirmed trial court discretion in structuring parenting time arrangements that account for a parent's occupational unavailability during work seasons, precisely the situation presented here by Tomas's Bristol Bay fishing contracts. The proposed arrangement providing Tomas with alternating weekend parenting during the school year and six weeks of summer parenting time reasonably accommodates the seasonal nature of his work while protecting the children's educational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MUST BE CALCULATED UNDER CIVIL RULE 90.3 BASED ON EACH PARENT'S ADJUSTED ANNUAL INCOME, WITH CAREFUL ATTENTION TO TOMAS'S FLUCTUATING FISHING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establishes the formula for child support in cases of primary physical custody. The non-custodial parent's adjusted annual income, calculated as total income from all sources minus the allowable deductions specified in Civil Rule 90.3(a)(1)(A) through (G), is multiplied by the applicable percentage. For two children, Civil Rule 90.3(a)(2)(B) sets that percentage at 27% (.27). Accordingly, Tomas's child support obligation must be calculated by determining his adjusted annual income from all sources, including his commercial fishing earnings, and applying the 27% multiplier.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90.3(e)(1) requires each parent to file a sworn affidavit stating adjusted annual income and its components, accompanied by documentation verifying income and deductions, at the time of the initial pleading or dissolution petition. Both Tomas and Maria are therefore required to submit compliant financial affidavits along with their dissolution filings.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particular complexity in this case is the seasonal and fluctuating nature of Tomas's income from Bristol Bay fishing contracts. The Alaska Supreme Court addressed this precise issue in Zimin v. Zimin, 837 P.2d 118 (Alaska 1992), where the court examined how a commercial fisherman's variable annual earnings should be treated for child support calculation purposes. The holding in that case supports averaging a fisherman's income over multiple years to arrive at a representative adjusted annual income figure, rather than relying solely on any single year's earnings. Similarly, in Sharon Thompson v. Everett Thompson, 454 P.3d 981 (Alaska 2019), the Alaska Supreme Court affirmed that a parent's income from a combination of commercial fishing, contract work, and other sources may be averaged across years to produce a fair and reliable adjusted annual income figure for Rule 90.3 purposes.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finds that Tomas is voluntarily underreporting income or structuring his fishing business affairs to minimize his apparent earnings, Civil Rule 90.3(a)(4) authorizes the court to impute potential income based on the parent's assets, employment history, job skills, educational attainment, and prevailing earnings in the local community. The court should apply that provision if the evidence reveals a pattern of underreporting consistent with a strategy to minimize his child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respectfully requests that the court set child support at the amount produced by applying the 27% multiplier under Civil Rule 90.3(a)(2)(B) to Tomas's properly calculated adjusted annual income, using multi-year averaging where appropriate to reflect the fluctuating nature of Bristol Bay fishing earnings.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REQUIRE TOMAS TO MAINTAIN HEALTH INSURANCE COVERAGE FOR THE CHILDREN AS A CONDITION OF THE DISSOLUTION DECREE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90.3(d)(1)(A) provides that "the court shall address coverage of the children's health care needs and require health insurance for the children if insurance is available to either parent at a reasonable cost and accessible to the children." Tomas maintains access to a group health insurance plan through his commercial fishing employer that covers dependents. A group employer plan by its nature offers more affordable per-member coverage than individual market plans and, unless the record demonstrates otherwise, is presumptively available at a reasonable cost.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90.3(d)(1)(A)(i) establishes a rebuttable presumption that health insurance costs are reasonable if the cost of coverage does not exceed five percent of the adjusted annual income of the parent required to purchase the insurance. Given that Tomas earns income from Bristol Bay commercial fishing during productive seasons, there is no basis on the current record to conclude that the cost of extending dependent coverage through his employer's group plan would exceed that five-percent threshold. Tomas has not presented any evidence rebutting the reasonableness presumption.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90.3(d)(1)(A)(ii) requires that the insurance be accessible, meaning the plan pays for health care services reasonably available to the children. Because the children reside in Eagle River, Alaska, and Tomas's employer group plan covers services within Alaska, the plan satisfies the accessibility requirement.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90.3(d)(1)(B) further provides that "the court shall allocate equally the cost of this insurance between the parties unless the court orders otherwise for good cause." If Tomas pays the full premium attributable to the children's share of coverage, his child support obligation will be decreased by Maria's allocated share of those premiums. Conversely, if Maria is ordered to obtain alternative coverage, Tomas's obligation will be increased accordingly.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Sharon Thompson v. Everett Thompson, 454 P.3d 981 (Alaska 2019), acknowledged the relevance of health insurance availability when distributing marital obligations following divorce, noting that disparities in access to coverage are a proper factor in both property division and support determinations. In that case, the court took into account that one party had access to coverage through a specialized program while the other did not, and adjusted the overall distribution accordingly. Here, Tomas's access to employer-sponsored group coverage for the children is an asset of the dissolution proceeding that should be leveraged to serve the children's health care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respectfully requests that the court order Tomas to maintain the children on his employer's group health insurance plan as a condition of the dissolution decree, with the cost allocated equally between the parties pursuant to Civil Rule 90.3(d)(1)(B), and that uncovered health care expenses be divided equally pursuant to Civil Rule 90.3(d)(2).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MARITAL ESTATE MUST BE EQUITABLY DIVIDED UNDER AS 25.24.160, INCLUDING THE FISHING VESSEL, THE FAMILY RESIDENCE, THE JOINT SAVINGS ACCOUNT, AND THE SHARED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General Framework for Property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 requires the court to divide the parties' marital property in a just manner, without regard to fault, and to fairly allocate the economic effect of the divorce by weighing the factors enumerated in subsections (A) through (I). Those factors include: the length of the marriage and the station in life of the parties during the marriage; the age and health of the parties; the earning capacity of the parties; the financial condition of the parties; the conduct of the parties, including any unreasonable depletion of marital assets; the desirability of awarding the family home to the primary custodial parent; the circumstances and necessities of each party; the time and manner of acquisition of the property in question; and the income-producing capacity of the property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Hooper v. Hooper, 188 P.3d 681 (Alaska 2008), confirmed that a trial court must address each of these statutory factors when dividing the marital estate, and that a division producing a substantial disparity between the parties' net awards requires a clear record justifying that result. The court in Ogden v. Ogden, 898 P.3d 379 (Alaska 2001), similarly emphasized that property division must rest on findings that are supported by the record and that fairly account for each party's economic position at the time of divorce. The court in Mahan v. Mahan, 719 P.3d 787 (Alaska 2015), affirmed that dissolution agreements addressing the disposition of income-producing assets such as commercial fishing vessels are scrutinized by the court to ensure they are just and that they fairly allocate the economic effect of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Eagle River Family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Eagle River home was purchased in 2017, two years after the parties' marriage, and therefore constitutes marital property subject to division under AS 25.24.160(a)(4). The home currently carries an estimated $80,000 in equity. AS 25.24.160(a)(4)(F) expressly identifies as a relevant factor "the desirability of awarding the family home, or the right to live in it for a reasonable period of time, to the party who has primary physical custody of children." Because Maria will serve as the primary custodial parent during the school year, and the children aged five and eight are enrolled in or approaching enrollment in Eagle River schools, a strong statutory basis exists for awarding Maria either title to the home or the right to remain in it for a reasonable period to avoid disrupting the children's schooling and established community 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an immediate sale of the family home is not practicable or in the children's best interests, the court should consider awarding Maria the right to occupy the home during the children's minority, with a deferred sale and equitable division of proceeds thereafter. If the home is sold immediately, Maria should receive a credit in the overall property distribution reflecting the statutory preference for the primary custodial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Commercial Fishing Vessel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values the commercial fishing vessel at $45,000 and argues it should be awarded exclusively to him because it constitutes his primary income-generating asset. Maria acknowledges the vessel's functional importance to Tomas's livelihood but contends it must be included in the overall equitable distribution of the marital estate.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vessel is a marital asset if it was acquired or substantially improved during the marriage, or if marital funds were used to reduce its acquisition debt or fund its operation. AS 25.24.160(a)(4)(H) directs the court to consider "the time and manner of acquisition of the property in question," and AS 25.24.160(a)(4)(I) directs the court to consider "the income-producing capacity of the property and the value of the property at the time of division." These two factors must be weighed together: the vessel's value and income-producing capacity are precisely why it must be counted as part of the marital estate, not excluded from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Dragseth v. Dragseth, 210 P.3d 1206 (Alaska 2009), addressed a similar situation involving a sole proprietorship marine business and its income-producing assets used during the marriage. The court affirmed that business assets used during the marriage to generate income are properly treated as marital property subject to equitable division, even when one spouse operated the business and the other was the primary caregiver. In Sharon Thompson v. Everett Thompson, 454 P.3d 981 (Alaska 2019), the Alaska Supreme Court acknowledged that a commercial fishing vessel purchased, paid off, and overhauled prior to the marriage may constitute separate property, but the analysis turns on the specific timing and manner of acquisition. By contrast, where a vessel was acquired or substantially paid down during the marriage, it falls squarely within the marital estate.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does not dispute that Tomas should be awarded the vessel in kind, given its role as his livelihood. She contends, however, that its $45,000 value must be counted as part of the total marital estate and that she must receive corresponding offsetting value from other assets, including the home equity and the joint savings account, to produce an equitable overall distribution. Awarding Tomas the $45,000 vessel without any corresponding offset to Maria would produce exactly the kind of unjustified disparity that the Alaska Supreme Court cautioned against in Hooper v. Hooper, 188 P.3d 681 (Alaska 2008).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therefore award the fishing vessel to Tomas in kind, credit its $45,000 value to his share of the marital estate, and adjust the distribution of the remaining assets accordingly.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Joint Savings Account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joint savings account holds approximately $14,000 and is concededly marital property. In the absence of any demonstrated claim that either party made disproportionate contributions to the savings account or that any portion of the balance represents separate property, equal division of the $14,000 balance is the appropriate starting point, subject to adjustment to achieve an equitable overall distribution of the marital estate in light of the vessel and home equity allocations.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Shared Credit Card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share approximately $22,000 in combined credit card debt. AS 25.24.160(a)(4) encompasses the allocation of marital obligations as well as assets. The court must consider each party's ability to service the debt, their respective earning capacities, and the circumstances and necessities of each party under AS 25.24.160(a)(4)(G) in allocating the debt. Because Tomas has a demonstrated earning capacity from his commercial fishing employment, and Maria has been the primary caregiver for the children, an equal division of the debt may impose a disproportionate burden on Maria. The court should allocate the debt in a manner that accounts for each party's actual ability to pay, consistent with a just allocation of the economic effects of the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Overall Distribution Summary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Taking the statutory factors as a whole and applying the framework endorsed in Hooper v. Hooper, 188 P.3d 681 (Alaska 2008), and Ogden v. Ogden, 39 P.3d 513 (Alaska 2001), the court should structure the overall distribution to ensure that neither party receives a substantially disparate share of the net marital estate without clear justification. The proposed framework that achieves that result is as follows: Tomas receives the fishing vessel ($45,000); Maria receives a substantially larger share of the home equity and the joint savings account, or retains the right to occupy the family home for a defined period; and the parties share the credit card debt in proportions reflecting their relative earning capacities. The court retains broad discretion in fashioning the specific numbers, so long as the resulting distribution fairly allocates the economic effect of the dissolution as required by AS 25.24.160(a)(4).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COURT SHOULD APPLY HEIGHTENED SCRUTINY IF ANY INDICIA OF AN INEQUITABLE AGREEMENT ARE PRESENT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25.24.220(h) requires the court to apply a heightened level of scrutiny to dissolution agreements where one party is represented by counsel and the other is not, where there is a minor child of the marriage, or where there is a patently inequitable division of the marital estate. At least two of those conditions are present here: the parties have two minor children, and any dissolution agreement that awards Tomas the $45,000 vessel without a corresponding equitable offset would constitute a patently inequitable division. Under AS 25.24.220(i), when heightened scrutiny applies, the court must examine the written agreements to determine that they are just, that they constitute the entire agreement between the parties, and that the agreements concerning child custody, child support, and visitation are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respectfully requests that the court apply this standard of review and decline to approve any dissolution agreement that does not provide her with equitable offsetting value for the fishing vessel awarded to Tomas.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Maria Sutter respectfully requests that the court enter a final dissolution decree that: (1) establishes joint legal custody with primary physical custody in Maria, alternating weekend parenting time for Tomas, and six weeks of summer parenting time for Tomas; (2) calculates Tomas's child support obligation under Civil Rule 90.3(a) at 27% of his adjusted annual income, using multi-year income averaging to account for the fluctuating nature of his commercial fishing earnings; (3) orders Tomas to maintain the two minor children on his employer-sponsored group health insurance plan, with the cost allocated equally between the parties and uncovered health care expenses divided equally, all pursuant to Civil Rule 90.3(d); (4) divides the marital estate equitably under AS 25.24.160(a)(4) by awarding the fishing vessel to Tomas at its $45,000 value, crediting that value against his share of the marital estate, and awarding Maria a corresponding equitable share of the home equity and joint savings account; (5) awards Maria the family residence or the right to occupy it for a reasonable period during the children's minority, consistent with AS 25.24.160(a)(4)(F); and (6) allocates the $22,000 in shared credit card debt in proportions reflecting the parties' respective earning capacities and financial circumstances. The court should apply the heightened scrutiny mandated by AS 25.24.220(h) and (i) to ensure the overall dissolution agreement is just and fairly allocates the economic effects of this dissolution.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2026-08-16T18:55:54.824Z</dcterms:created>
  <dcterms:modified xsi:type="dcterms:W3CDTF">2026-08-16T18:55:54.824Z</dcterms:modified>
</cp:coreProperties>
</file>

<file path=docProps/custom.xml><?xml version="1.0" encoding="utf-8"?>
<Properties xmlns="http://schemas.openxmlformats.org/officeDocument/2006/custom-properties" xmlns:vt="http://schemas.openxmlformats.org/officeDocument/2006/docPropsVTypes"/>
</file>