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(doc-0038)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Petrova, the petitioner and primary caregiver of the parties' two minor children, respectfully submits this brief in support of her proposed custody arrangement, child support calculation, and equitable division of the marital estate. The parties were married in Fairbanks, Alaska in 2017 and have since experienced an irretrievable breakdown of their marriage due to persistent communication failures, incompatible approaches to parenting, and the geographical separation created by respondent Sarah Petrova's voluntary relocation to Anchorage. Ashley remains in Fairbanks, where the children have been raised, attend school, and maintain their established routines and social connections.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central disputes before this Court involve: (1) the physical custody arrangement for the parties' two minor children, ages four and seven; (2) the proper calculation of child support under Alaska Civil Rule 90.3; (3) the equitable division of the marital home, shared vehicle, joint credit card debt, and two retirement accounts; and (4) whether spousal maintenance is warranted given the parties' respective financial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respectfully urges this Court to award her primary physical custody, to calculate child support in accordance with Civil Rule 90.3(a) using the primary custody formula, and to divide the marital estate in a manner that is just and equitable under AS 25.24.160, giving particular weight to her status as the children's primary physical caregiver and her role in maintaining the family home throughout the marriage.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Petrova and Sarah Petrova were married in Fairbanks, Alaska in 2017. The marriage produced two children: a seven-year-old and a four-year-old, both of whom currently reside with Ashley in Fairbanks. Over the past two years, the marriage deteriorated significantly due to ongoing communication breakdowns and fundamentally incompatible parenting philosophies. The situation became practically unworkable when Sarah voluntarily relocated to Anchorage to pursue employment, placing approximately 360 miles between herself and the children's primary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Throughout the marriage, and particularly since Sarah's relocation, Ashley has served as the children's primary caregiver. Ashley has managed the children's daily schedules, medical appointments, schooling, and extracurricular activities. The seven-year-old is enrolled in school in the Fairbanks area, and the four-year-old attends preschool nearby. Both children are embedded in their Fairbanks community.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jointly own a residence in Fairbanks carrying approximately $210,000 in equity. The parties also share one vehicle and carry approximately $34,000 in credit card debt accumulated during the marriage. Each party holds an individual retirement account that was funded, at least in part, during the marriage. Sarah earns a higher income through her Anchorage employment. Ashley's income is lower, reflecting in part the significant time she devotes to the children's daily care.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proposes that she retain primary physical custody of both children, with Sarah receiving visitation on alternating weekends and during school breaks, supplemented by a holiday schedule to be agreed upon by the parties. The parties would share joint legal custody. Sarah disputes this proposal and seeks a 60-40 physical custody split in her favor, citing her higher income and more stable housing. Sarah also proposes that child support be calculated using percentages corresponding to her preferred parenting time arrangement.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exercise broad discretion in matters of child custody, child support, and property division in divorce proceedings. Under AS 25.24.160, the Court may provide for custody, child support, maintenance, and the division of marital property in any judgment of divorce. Property division must fairly allocate the economic effect of divorce and must be based on consideration of the factors enumerated in AS 25.24.160(a)(4), including the length of the marriage, the earning capacity of the parties, the financial condition of each party, the desirability of awarding the family home to the party with primary physical custody of children, and the time and manner of acquisition of the property. Spousal maintenance, if sought, must be based on consideration of the factors listed in AS 25.24.160(a)(2).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is governed by Civil Rule 90.3. Where one parent is awarded primary physical custody, child support is calculated under Civil Rule 90.3(a) by multiplying the non-custodial parent's adjusted annual income by the applicable percentage: 20 percent for one child and 27 percent for two children. Where parents share physical custody, meaning the children reside with each parent for between 30 and 70 percent of the year as defined under Civil Rule 90.3(f)(1), the shared custody formula set forth in Civil Rule 90.3(b) applies. The definitions in Civil Rule 90.3(f) govern which formula controls.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the child support formula in Civil Rule 90.3 is designed to ensure that awards are adequate to meet the needs of children and to promote predictability and consistency in support obligations. See Ruppe v. Ruppe, 358 P.3d 1284 (Alaska 2015). The Alaska Supreme Court has further confirmed that the custody classification, specifically whether custody is primary or shared, determines which formula applies and controls the support calculation. See Holmes v. Holmes, 414 P.3d 662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property division, AS 25.24.160(a)(4) requires the Court to consider the totality of circumstances surrounding the marital estate. The Alaska Supreme Court has recognized that courts may, in appropriate circumstances, award a greater share of the marital estate to the spouse with lower earning capacity, particularly where that disparity is attributable to custodial responsibilities undertaken during the marriage. See Fernau v. Rowdon, 42 P.3d 1047 (Alaska 2002). Courts have also recognized that equal access of children to both parents is a guiding principle, balanced against the best interests of the children in light of all relevant circumstances. See AS 25.20.070.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THIS COURT SHOULD AWARD ASHLEY PRIMARY PHYSICAL CUSTODY BECAUSE SHE IS THE CHILDREN'S ESTABLISHED PRIMARY CAREGIVER AND THE PROPOSED ARRANGEMENT BEST SERVES THE CHILDREN'S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has served as the primary caregiver for both children throughout the marriage and, particularly, since Sarah's voluntary relocation to Anchorage. The children are settled in Fairbanks, where the seven-year-old attends school and the four-year-old attends preschool. Disrupting this stability by awarding Sarah a 60-40 majority of physical custody would require the children to spend the predominant portion of their time some 360 miles from their established home, school, and support network, contrary to their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recognizes that children should, to the greatest degree practical, have equal access to both parents. AS 25.20.070. However, that principle operates in the context of what the Court finds to be practical given the circumstances, and it is expressly conditioned on a finding that such access is not detrimental to the welfare of the children. Id. Here, the geographic distance between Fairbanks and Anchorage renders a majority-Anchorage custody arrangement impractical for children of these ages. A four-year-old and a seven-year-old cannot be uprooted from their school, their preschool, and their Fairbanks community to spend the majority of their time in Anchorage simply because Sarah prefers it or because Sarah earns more money. Earning capacity and housing stability are not determinative of custody; the best interests of the children are paramount.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Ashley's proposed arrangement is reasonable and designed to preserve Sarah's meaningful relationship with the children. Alternating weekend visitation, school-break visitation, and a mutually agreed holiday schedule provide Sarah with regular, consistent, and substantial contact with both children. This proposal respects the children's need for continuity while honoring the practical realities of the parties' geographic separation.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Sarah's claimed basis for a 60-40 split in her favor, namely her higher income and more stable housing, reflects a misapplication of the relevant considerations. Income disparities and housing stability are factors relevant to child support and property division, not custody allocation. The applicable legal framework focuses on the children's welfare and their connections to their established environment. Ashley urges the Court to award her primary physical custody with joint legal custody shared between the parties, and to order a visitation schedule consistent with her proposal.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CHILD SUPPORT SHOULD BE CALCULATED UNDER CIVIL RULE 90.3(a) USING THE PRIMARY CUSTODY FORMULA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Ashley seeks, and this brief argues this Court should award, primary physical custody to Ashley, child support must be calculated under Civil Rule 90.3(a), the primary physical custody formula. Under that provision, the support award equals the non-custodial parent's adjusted annual income multiplied by a percentage tied to the number of children. For two children, the applicable percentage is 27 percent.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shared custody formula under Civil Rule 90.3(b) is triggered only when the children reside with each parent for a period specified in writing in the custody order of at least 30 but no more than 70 percent of the year. Civil Rule 90.3(f)(1). Primary physical custody, by contrast, exists where the children reside with the other parent for less than 30 percent of the year. Civil Rule 90.3(f)(2). Under Ashley's proposed arrangement, the children would reside with Sarah only during alternating weekends and school breaks, which does not approach the 30-percent threshold required to trigger the shared custody formula. Accordingly, Civil Rule 90.3(a) governs.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confirmed in Holmes v. Holmes, 414 P.3d 662 (Alaska 2018), that the custody classification is the controlling factor in determining which formula applies. The Court further explained in Rowen v. Rowen, 963 P.2d 249 (Alaska 1998), that the formulas for shared and divided custody already account for the percentage of time each parent has physical custody and are not interchangeable with the primary custody formula. Sarah's proposal to calculate support using her preferred 60-40 parenting percentages would require application of the shared custody formula, which is only appropriate if the Court adopts her custody proposal. If this Court, as Ashley urges, awards primary physical custody to Ashley, Civil Rule 90.3(a) controls and Sarah's adjusted annual income must be multiplied by 27 percent to determine the annual support obligation, which is then divided into 12 equal monthly installments.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take care in calculating each party's adjusted annual income consistent with Civil Rule 90.3(a)(1), which defines adjusted annual income as the parent's total income from all sources minus mandatory deductions, voluntary retirement contributions within the prescribed limits, and other enumerated items. The Court may further consider whether to impute potential income to either parent under Civil Rule 90.3(a)(4) if the evidence warrants such a finding, though no such finding is presently sought with respect to Ashley given her documented caregiving responsibilities.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MARITAL RESIDENCE SHOULD BE AWARDED TO ASHLEY, WHO HOLDS PRIMARY PHYSICAL CUSTODY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25.24.160(a)(4)(F), a court dividing marital property must consider the desirability of awarding the family home, or the right to live in it for a reasonable period of time, to the party who has primary physical custody of children. This factor is directly applicable here. Ashley and the two minor children currently reside in the Fairbanks family home. Awarding the residence to Ashley, or alternatively awarding her the right to continue residing there, would ensure continuity and stability for the children and avoids the significant disruption that a forced sale would create for a four-year-old and a seven-year-old whose school and preschool are located in Fairbanks.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Brown v. Brown, 914 P.2d 206 (Alaska 1996), recognized the comprehensive nature of the property division factors enumerated in AS 25.24.160(a)(4), including consideration of each party's earning capacity, financial condition, and the income-producing capacity and value of the property at the time of division. The court in Fernau v. Rowdon, 42 P.3d 1047 (Alaska 2002), further demonstrated that unequal property division in favor of the lower-earning spouse is appropriate where the equities warrant it, particularly where that spouse faces educational or career limitations attributable in part to marital roles and responsibilities.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several factors weigh in favor of awarding the family home to Ashley, or at minimum a greater share of the $210,000 in equity. Ashley has the lower earning capacity. She has devoted significant time to the children's care, which has necessarily limited her professional development during the marriage. She will continue to bear the primary burden of daily child-rearing after the divorce. Sarah, by contrast, voluntarily relocated to Anchorage for employment, demonstrating an ability to establish independent housing and financial stability outside the family home. Awarding the home to Ashley, with appropriate credit to Sarah for her share of the equity through either a buyout arrangement or an offset against other marital assets, is just under the circumstances.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MARITAL DEBT AND RETIREMENT ACCOUNTS SHOULD BE DIVIDED EQUITABLY WITH REFERENCE TO THE STATUTORY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carry approximately $34,000 in credit card debt accumulated during the marriage. Under AS 25.24.160(a)(4), the division of marital property, which encompasses both assets and obligations, must fairly allocate the economic effect of divorce. Each party's ability to service debt following the divorce must be considered. Given Sarah's higher income, and consistent with the principle of fair allocation under AS 25.24.160, it is equitable for Sarah to bear a proportionally greater share of the joint marital debt, or for the debt allocation to be offset against Sarah's share of marital assets.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the two retirement accounts, each held by one spouse, the Court must evaluate the marital portion of each account, meaning the contributions made and investment growth accrued during the period of the marriage from 2017 forward. AS 25.24.160(a)(4) authorizes the Court to divide retirement benefits acquired during the marriage in a just manner. The Alaska Supreme Court addressed retirement account division in Sharon Thompson v. Everett Thompson, 454 P.3d 981 (Alaska 2019), recognizing that courts must consider each party's earning capacity and the financial disparities between them when allocating retirement assets. Where, as here, Sarah has enjoyed a higher income and presumably accumulated greater retirement contributions during the marriage, a straightforward equal division of the marital portions of both accounts may be appropriate, but the Court should consider whether any offset is warranted in light of the other allocations made in the property division as a whole.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division of retirement benefits must comply with the requirements of a qualified domestic relations order where applicable. AS 25.24.160(b). Ashley respectfully requests that the Court order the preparation of appropriate documentation to effectuate any division of retirement accounts as part of the final decree.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THE COURT SHOULD CONSIDER THE EQUITABLE FACTORS HOLISTICALLY TO ARRIVE AT A JUST OVERALL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25.24.160(a)(4), the Court is directed to consider all enumerated factors in arriving at a property division that fairly allocates the economic effect of divorce. The factors include the length of the marriage, the age and health of the parties, the earning capacity of the parties including their custodial responsibilities during the marriage, the financial condition of the parties, the desirability of awarding the family home to the party with primary physical custody, and the circumstances and necessities of each party. AS 25.24.160(a)(4)(A) through (I).</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Viewing these factors as a whole, the equities favor Ashley. The marriage was relatively short, approximately seven years, but Ashley contributed substantially through her caregiving role, which constrained her professional advancement while benefiting the family unit. Sarah's voluntary relocation to a higher-paying position in Anchorage improved her own financial position without a corresponding benefit to Ashley or the children in terms of daily support. Ashley will be the parent primarily responsible for the children's day-to-day needs following the divorce, and the property division should reflect and support that ongoing responsibility.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does not seek an unreasonable or punitive award. She seeks a division that is genuinely fair: one that accounts for her caregiving contributions, recognizes her lower earning capacity going forward, ensures stability for the children in the family home, and treats the marital debt as a shared obligation to be allocated in proportion to ability to pay.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Ashley Petrova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Award Ashley primary physical custody of the parties' two minor children, with Sarah receiving visitation on alternating weekends and during school breaks plus a mutually agreed holiday schedule, and with both parties sharing joint legal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Calculate child support under Civil Rule 90.3(a) based on Sarah's adjusted annual income multiplied by 27 percent for two children, consistent with a primary physical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Award Ashley the family residence in Fairbanks, or the right to reside in it for a reasonable period, with appropriate credit to Sarah for her equity share through an offset against other marital assets or a structured buyout.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Divide the approximately $34,000 in joint marital debt in proportion to the parties' respective abilities to pay, with Sarah bearing a proportionally greater share consistent with her higher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Divide the marital portions of both retirement accounts equitably, with any necessary qualified domestic relations orders to be prepared and entered as part of the final decree, consistent with AS 25.24.160(b).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 such other relief as this Court deems just and equitable under the circumstances.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2026-08-16T18:57:30.533Z</dcterms:created>
  <dcterms:modified xsi:type="dcterms:W3CDTF">2026-08-16T18:57:30.533Z</dcterms:modified>
</cp:coreProperties>
</file>

<file path=docProps/custom.xml><?xml version="1.0" encoding="utf-8"?>
<Properties xmlns="http://schemas.openxmlformats.org/officeDocument/2006/custom-properties" xmlns:vt="http://schemas.openxmlformats.org/officeDocument/2006/docPropsVTypes"/>
</file>