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Family Division, on the petition for dissolution of marriage filed by Petitioner Marcus Whitfield. Marcus and Michael Whitfield were married in Anchorage, Alaska in 2016 and are the parents of two minor children, ages five and eight. The marriage has irretrievably broken down due to financial stress and persistent communication failures that have rendered the parties incompatible. Marcus now petitions this Court to dissolve the marriage, establish a primary physical custody arrangement that serves the best interests of the minor children, set child support in accordance with Alaska's guidelines, and divide the marital estate in a manner that is just and equitable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principal issues require resolution. First, the Court must establish a custody and parenting time arrangement that promotes the children's well-being and continuity of care. Second, the Court must determine the appropriate child support award after resolving the dispute over Michael's income figures and any associated financial disclosures. Third, the Court must divide the marital estate, including the family home, two vehicles, and shared credit card debt, in a manner that fairly allocates the economic effect of dissolution, with due consideration for Marcus's request to retain the family home in order to preserve stability for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respectfully requests that this Court grant primary physical custody of the minor children to him, award child support consistent with Civil Rule 90.3, and allocate the family home to Marcus, with the remaining marital assets and liabilities divided equitably between the parties.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and Michael Whitfield were married in Anchorage, Alaska in 2016. The marriage produced two minor children: a child currently aged eight and a child currently aged five. Both children have resided in the family home throughout their lives and are enrolled in school in the Anchorage area. Over the past two years, the marriage deteriorated as a result of significant financial stress and persistent communication breakdowns between the parties. These circumstances have caused an irremediable breakdown of the marital relationship, rendering the parties incompatible.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filed a petition for dissolution of marriage in the Alaska Superior Court, Family Division. Marcus proposes that the two minor children reside with him during the school week as the primary physical custodian, with Michael exercising parenting time on alternating weekends and during school holidays. The parties would share joint legal custody and cooperate on all major decisions regarding education, healthcare, and the general well-being of the children. This arrangement would preserve the children's established school routines and provide continuity of care in the home they have known throughout their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are in partial agreement regarding child support. Marcus seeks an award calculated under Civil Rule 90.3 using income figures he has submitted to the Court. Michael disputes those income figures and requests that the Court order formal financial disclosures before a final child support award is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and liabilities: a jointly owned home in Anchorage with approximately $60,000 in equity; two vehicles; and a shared credit card debt of approximately $18,000. Marcus seeks to retain the family home for the benefit of the minor children, recognizing that continued residence in the home promotes stability and continuity of care. Michael requests an immediate sale of the home and an equal division of the net proceeds. The parties have not reached agreement on the division of the vehicles or the allocation of the shared debt.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a petition for dissolution of marriage may be filed when incompatibility of temperament has caused the irremediable breakdown of the marriage and the parties have reached, or the Court has resolved, agreements regarding custody, child support, visitation, property division, and allocation of debts. Where the parties have not fully agreed, the Court retains authority under AS 25.24.220 to examine the terms of any partial agreement and to consider whether those terms are just, in the best interests of the children, and constitute a fair allocation of the economic consequences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any dissolution or divorce proceeding, the division of property must fairly allocate the economic effect of dissolution by taking into consideration the factors enumerated in AS 25.24.160(a)(4). Spousal maintenance, if any, and property division must together achieve a fair economic allocation under AS 25.24.160(a)(2) and (4), as incorporated by reference in AS 25.24.200(e) and AS 25.24.220(d)(3).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90.3(a), which requires that the award be calculated as an amount equal to the adjusted annual income of the non-custodial parent multiplied by the applicable percentage for the number of children. For two children, that percentage is 27 percent. Civil Rule 90.3(f)(2) defines primary physical custody as an arrangement in which the children reside with the other parent for less than 30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divorce and dissolution actions, Civil Rule 26.1(b) requires each party, without awaiting a discovery request, to provide the other party with detailed financial disclosures, including tax returns, pay stubs, account information, and documentation of all assets and liabilities.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held that custody determinations must serve the best interests of the children, and that agreements between parents on custody have no binding force on the court independent of a best-interests analysis. See Faulkner v. Goldfuss, 46 P.3d 993 (Alaska 2002). The Alaska Supreme Court has recognized that child support guidelines under Civil Rule 90.3 exist to ensure that support orders are adequate to meet children's needs and to promote predictability and consistency. See Ruppe v. Ruppe, 358 P.3d 1284 (Alaska 2015). Courts applying these guidelines may impute potential income where a parent is voluntarily and unreasonably unemployed or underemployed under Civil Rule 90.3(a)(4).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Alaska begins with the marital estate, and Alaska courts have the authority to divide all property acquired during the marriage, as well as to invade separate property when the equities require. Brown v. Brown, 914 P.2d 206 (Alaska 1996). The standard for dissolution agreements requires that the property division fairly allocate the economic effect of dissolution, and courts apply heightened scrutiny where a division appears patently inequitable. Richard v. Boggs, 162 P.3d 629 (Alaska 2007). In Sandberg v. Sandberg, 322 P.3d 879 (Alaska 2014), the Alaska Supreme Court addressed the particular concerns that arise when one party proceeds without counsel and underscored the importance of ensuring that property settlements are genuinely just, not merely formally agreed upon.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PRIMARY PHYSICAL CUSTODY ARRANGEMENT SERVES THE BEST INTERESTS OF THE MINOR CHILDREN AND SHOULD BE ADOPTED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custody arrangements serve the best interests of the children. AS 25.24.220(d)(2) directs the Court to consider whether custody agreements are just as between the spouses and in the best interests of the children of the marriage. Marcus proposes that the minor children reside with him during the school week and that Michael exercise parenting time on alternating weekends and during school holidays, with both parents sharing joint legal custody and cooperating on all major decisions regarding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arrangement promotes continuity of care and stability for children who have lived in the Anchorage family home their entire lives and are actively enrolled in school. The children, ages five and eight, benefit from predictable weekday routines anchored by a consistent primary residence. Marcus's proposal allows Michael meaningful and regular parenting time while preserving the school-week structure the children depend upon. The Alaska Supreme Court has recognized the paramount importance of maintaining stability for children when evaluating custody arrangements. Schmitz v. Schmitz, 88 P.3d 1116 (Alaska 2004).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a parent has primary physical custody when the children reside with the other parent for less than 30 percent of the year. Under the proposed schedule, Michael's alternating-weekend and holiday parenting time would fall below this threshold, placing Marcus in the role of primary physical custodian for child support calculation purposes. This definition is consistent with the practical reality of the proposed parenting plan and supports the application of the primary custody formula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is appropriate here because both Marcus and Michael have demonstrated a shared commitment to the children's education, healthcare, and well-being. Requiring the parties to cooperate on major decisions preserves each parent's meaningful involvement in the children's lives while vesting day-to-day responsibility with the primary residential parent. The Court should adopt the proposed custody and parenting time arrangement as serving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CALCULATED UNDER CIVIL RULE 90.3 ON THE BASIS OF ACCURATE INCOME FIGURES, AND THE COURT SHOULD ORDER MICHAEL TO COMPLY WITH THE FINANCIAL DISCLOSURE REQUIREMENTS OF CIVIL RULE 26.1(b).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mandates that child support for two children be calculated at 27 percent of the non-custodial parent's adjusted annual income. The adjusted annual income is the non-custodial parent's total income from all sources, reduced by mandatory deductions such as federal, state, and local income tax, Social Security tax, Medicare tax, mandatory union dues, mandatory retirement contributions, and other enumerated deductions set forth in Civil Rule 90.3(a)(1). Because Marcus is proposed as the primary physical custodian, Michael is the non-custodial parent for purposes of this calculation, and the support obligation is to be determined from Michael's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disputed the income figures Marcus submitted and has requested that the Court order formal financial disclosures. Civil Rule 26.1(b) requires each party in a dissolution or divorce proceeding to provide, without awaiting a discovery request, comprehensive financial documentation, including federal tax returns for the past three years, pay stubs and proof of income for the past two months from all sources, bank account statements, documentation of all debts, and information regarding all assets. These disclosures exist precisely to ensure that child support calculations rest on a realistic and accurate income figure, consistent with the goal articulated by the Alaska Supreme Court in Ruppe v. Ruppe, 358 P.3d 1284 (Alaska 2015), that the Rule 90.3 formula produce adequate and consistent support awards.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that the Court order Michael to provide full disclosures as required by Civil Rule 26.1(b) within the time permitted by that rule. Once accurate income figures have been established, the Court should calculate the child support obligation at 27 percent of Michael's adjusted annual income for two children, consistent with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if Michael's disclosed income reflects voluntary underemployment or unemployment, the Court has authority under Civil Rule 90.3(a)(4) to impute potential income based on Michael's assets, work history, education, job skills, earning history, and other relevant factors. A determination of potential income may not be made if Michael is physically or mentally incapacitated or is caring for a child under two years of age to whom the parties owe joint legal responsibility. Civil Rule 90.3(a)(4)(E). Absent those circumstances, if the evidence supports a finding of voluntary underemployment, imputation would be appropriate to ensure that the children receive adequate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the applicable low-income adjustment under Civil Rule 90.3(a)(5) only if Michael's total annual income is $30,000 or less, in which event Michael's adjusted annual income is the lesser of the amount calculated under the standard deduction formula or Michael's total income from all sources minus $7,500. No determination on this point can be made until Michael complies with the disclosure requirements of Civil Rule 26.1(b).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MUST BE DIVIDED IN A MANNER THAT FAIRLY ALLOCATES THE ECONOMIC EFFECT OF DISSOLUTION, AND THE COURT SHOULD AWARD THE FAMILY HOME TO MARCUS TO PRESERVE CONTINUITY AND STABILITY FOR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the division of marital property "fairly allocate the economic effect of divorce by being based on consideration of" the factors enumerated in AS 25.24.160(a)(4). Among those factors are: the length of the marriage and station in life of the parties; the age and health of the parties; the earning capacity of the parties; the financial condition of the parties; the conduct of the parties, including whether there has been unreasonable depletion of marital assets; the desirability of awarding the family home to the party who has primary physical custody of the children; the circumstances and necessities of each party; the time and manner of acquisition of the property; and the income-producing capacity of the property and its value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One factor is particularly compelling in this case. AS 25.24.160(a)(4)(F) expressly identifies as a relevant consideration "the desirability of awarding the family home, or the right to live in it for a reasonable period of time, to the party who has primary physical custody of children." Marcus seeks primary physical custody of both minor children, ages five and eight, who have lived in the Anchorage home throughout their lives. Disrupting that residence by forcing an immediate sale would remove the children from their established home during an already difficult period of family transition. The statute directly contemplates this scenario and directs the Court to weigh the desirability of awarding the home to the primary custodial parent. This factor strongly favors awarding the family home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property division agreements and court-ordered allocations must achieve genuine fairness, not merely formal symmetry. Richard v. Boggs, 162 P.3d 629 (Alaska 2007). In that case, the court approved a property division that departed from a precisely equal split because the parties demonstrated that their arrangement better served the interests of the children and the practical realities of the family. Similarly, here, awarding the home to Marcus does not produce an inequitable result; it reflects the legitimate priority of the children's stability and the explicit statutory directive of AS 25.24.160(a)(4)(F).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offset the equity that Marcus retains in the home, the parties should negotiate, or the Court should impose, an adjustment to the remaining marital assets, including the vehicles and the allocation of the shared credit card debt of approximately $18,000. A just resolution might include awarding Michael a greater share of any liquid assets or a credit against the debt allocation to account for Marcus retaining the approximately $60,000 in home equity. The Court has full authority under AS 25.24.160 to fashion a division of all marital property, including by requiring assignment or conveyance of real or personal property, that achieves a fair and equitable allocation overall.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demand for an immediate sale and equal division of the proceeds, while understandable from a purely financial perspective, fails to account for the statutory directive to consider the children's needs and the primary custodial parent's claim to the family home. It also ignores the disruption that a forced sale during an active custody arrangement would impose on two school-age children. The Court should decline to order an immediate sale and should instead award the family home to Marcus, with compensating adjustments to the division of remaining assets and liabilities as equity requires.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MUST APPLY HEIGHTENED SCRUTINY TO ANY AGREEMENTS SUBMITTED BY THE PARTIES GIVEN THE PRESENCE OF MINOR CHILDREN AND ANY APPARENT INEQUITY IN THE PROPOSED DISTRIBUTION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25.24.220(h), the Court is required to apply a heightened level of scrutiny to agreements where there is a minor child of the marriage or where there is a patently inequitable division of the marital estate. Both of these triggers are present here. The parties have two minor children, ages five and eight. Additionally, Michael's proposal for an equal division of home sale proceeds without any offset for the children's stability interests, combined with potential disputes about the allocation of the credit card debt and vehicles, raises the possibility of a patently inequitable result if the estate is divided without careful judicial oversight.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heightened scrutiny applies, the Court under AS 25.24.220(i) must examine the written agreements to determine that they are just, that they constitute the entire agreement between the parties, and that any agreements concerning child custody, child support, and visitation are in the best interests of the children. This elevated standard is particularly important here because the income dispute means the child support figure has not yet been finally determined, and the custody and financial arrangements are interrelated.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the particular concerns that arise when property is divided under conditions where the parties' understanding of value is limited or the negotiating process is unequal. Sandberg v. Sandberg, 322 P.3d 879 (Alaska 2014). In Sandberg, the court emphasized the need for careful judicial review of dissolution agreements to ensure they are substantively fair, especially where one party may lack full information. This Court should apply the same careful scrutiny to any agreement or proposed order that emerges from the pending disputes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further notes that because the parties have not reached full agreement on child support pending resolution of the financial disclosure dispute, and because the property division remains contested, the comprehensive requirements of AS 25.24.210(e) have not yet been satisfied. That statute requires the petition to state in detail the terms of the agreement on custody, child support, visitation, and property division, and requires that agreements fairly allocate the economic effect of dissolution consistent with AS 25.24.160(a)(2) and (4). The Court should not enter a final decree until these requirements are met and the disclosures required by Civil Rule 26.1(b) have been provided and reviewed.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FINANCIAL DISCLOSURE OBLIGATIONS UNDER CIVIL RULE 26.1(b) ARE MANDATORY AND NON-WAIVABLE IN THIS PROCEEDING, AND MICHAEL'S REFUSAL TO ACCEPT THE SUBMITTED INCOME FIGURES MAKES COMPLIANCE ESSENTIAL.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26.1(b) requires that in all divorce and legal separation actions, each party shall, without awaiting a discovery request, provide to the other party a comprehensive array of financial documentation. This includes, among other items: the legal description and street address of all real property in which either party has an interest; signed releases authorizing the other party to obtain earnings, employee benefit, and retirement account information; a listing of all financial accounts with corresponding statements; a listing of all outstanding debts with documentation of balances and payment terms; a listing of all personal property with a current fair market value over $100; federal tax returns for the past three years; pay stubs and proof of income for the past two months from all sources; and a description of each party's current medical coverage.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placed the accuracy of the income figures in dispute. Until he provides the disclosures mandated by Civil Rule 26.1(b), the Court cannot calculate child support under Civil Rule 90.3(a) on a reliable basis, cannot determine whether imputation of income under Civil Rule 90.3(a)(4) is appropriate, and cannot fairly assess whether the proposed property division achieves the equitable allocation required by AS 25.24.160(a)(4). The disclosure requirements are not optional; they exist to facilitate accurate, fair, and consistent outcomes in exactly this type of contested dissolution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that the Court enter an order directing Michael to provide full and complete disclosures under Civil Rule 26.1(b) within the applicable time period, and that no final child support order or property division decree be entered until the Court has had the opportunity to review those disclosures and to determine accurate income and asset figures for both parties.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Marcus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Adopt the proposed primary physical custody arrangement, awarding Marcus primary physical custody of both minor children with Michael exercising parenting time on alternating weekends and during school holidays, and establishing joint legal custody with shared decision-making authority over education, healthcare, and the children's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Michael to provide full financial disclosures as required by Civil Rule 26.1(b) within the applicable time period, and defer entry of a final child support order until those disclosures have been reviewed and accurate income figures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child support at 27 percent of Michael's adjusted annual income, consistent with Civil Rule 90.3(a)(2)(B), after resolving the income dispute, and consider imputation of potential income under Civil Rule 90.3(a)(4) if the evidence supports a finding of voluntary underemployment;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the family home to Marcus in recognition of the statutory directive of AS 25.24.160(a)(4)(F) favoring the primary custodial parent's retention of the family home, with compensating adjustments to the division of the remaining marital assets and liabilities, including the vehicles and the shared credit card debt of approximately $18,000, to achieve an overall fair and just allocation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Apply the heightened scrutiny required by AS 25.24.220(h) to all agreements between the parties given the presence of minor children and the potential for inequity in the proposed property division;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under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2026-08-16T18:59:21.184Z</dcterms:created>
  <dcterms:modified xsi:type="dcterms:W3CDTF">2026-08-16T18:59:21.184Z</dcterms:modified>
</cp:coreProperties>
</file>

<file path=docProps/custom.xml><?xml version="1.0" encoding="utf-8"?>
<Properties xmlns="http://schemas.openxmlformats.org/officeDocument/2006/custom-properties" xmlns:vt="http://schemas.openxmlformats.org/officeDocument/2006/docPropsVTypes"/>
</file>