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(doc-0040)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comes before the Alaska Superior Court, First Judicial District, on the petition of Marcus Okafor for dissolution of his marriage to Sarah Okafor. The parties have reached a tentative agreement addressing child custody, child support, and division of the marital estate. They respectfully request that the Court review and approve the proposed agreement pursuant to AS 25.24.200 and AS 25.24.220, and enter a decree of dissolution consistent with the terms set forth herein.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and Sarah Okafor were married in 2014 and are the parents of two minor children, ages six and nine. The marriage has experienced an irremediable breakdown due to Marcus's extended seasonal absences as a commercial fisherman and irreconcilable differences concerning finances and parenting priorities. The parties have cooperated in reaching a comprehensive agreement that addresses primary physical custody in favor of Sarah during the school year, parenting time for Marcus during summers and school breaks, joint legal custody for major decisions, child support calculated using an income averaging methodology under Civil Rule 90.3, and an equitable division of the marital estate.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agreement is just, fair, and in the best interests of the children. The Court is respectfully asked to examine the agreement with the care required by Alaska law, confirm that all statutory conditions have been satisfied, and approve the dissolution.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Okafor is a commercial fisherman based in Juneau, Alaska. His annual fishing income fluctuates significantly depending on the salmon season, weather, and market conditions. Sarah Okafor is a registered nurse employed at Bartlett Regional Hospital in Juneau. The parties were married in 2014 and have two minor children: a nine-year-old and a six-year-old.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Over several years, the marriage deteriorated primarily as a result of Marcus's extended seasonal absences required by his commercial fishing operations and irreconcilable differences between the parties regarding financial priorities and parenting approaches. These circumstances have caused an irremediable breakdown of the marriage, satisfying the incompatibility condition required by AS 25.24.200(a)(1).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negotiated in good faith and have reached a tentative settlement agreement addressing all material issues arising from the dissolution. With respect to custody, the parties propose that Sarah receive primary physical custody of both children during the school year, and that Marcus exercise parenting time during summer months and school breaks consistent with his off-season availability. The parties further propose joint legal custody, with both parents sharing decision-making authority for major matters concerning the children's education, health care, and general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child support, the parties propose that Marcus pay monthly child support calculated under Civil Rule 90.3. Because Marcus's commercial fishing income varies substantially from year to year, the parties have stipulated to an income averaging approach to establish a fair and realistic adjusted annual income figure as the baseline for the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the following assets and liabilities: the family home in Juneau, jointly titled and subject to an outstanding mortgage; a jointly held savings account; Marcus's commercial fishing vessel and associated gear, valued at approximately $180,000; and shared credit card debt of approximately $22,000. The parties seek equitable division of these assets and liabilities through the Court's review of their proposed property settlement agreement.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Neither party has been the subject of a domestic violence charge, protective order, or injunctive relief during the marriage. Both parties understand the nature and consequences of their action.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petition for dissolution of marriage may be jointly filed under AS 25.24.200(a) when the spouses demonstrate that incompatibility of temperament has caused the irremediable breakdown of the marriage, that they have agreed on custody, support, and visitation for any minor children, and that they have agreed as to the distribution of all real and personal property and the payment of all obligations. The agreement must be fair and just and must take into consideration the factors listed in AS 25.24.964(2) and (4) so that the economic effect of dissolution is fairly allocated.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Upon filing, the Court is required by AS 25.24.983 to examine the parties and consider whether each spouse fully understands the nature and consequences of the action, whether the written agreements concerning child custody, child support, and visitation are just as between the parties and in the best interests of the children, whether the agreements relating to property division are just, and whether the written agreements constitute the entire agreement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heightened scrutiny is warranted under AS 25.24.220(h), the Court must examine the written agreements to determine that they are just and that child-related agreements are in the best interests of the children. In this case, because there are minor children of the marriage, AS 25.24.220(h)(3) requires the Court to apply a heightened level of scrutiny to the agreements, consistent with AS 25.24.991.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must be calculated in conformity with Civil Rule 90.3. Under Civil Rule 90.3(a), a child support award in a primary physical custody case is calculated by multiplying the non-custodial parent's adjusted annual income by the applicable percentage: 27% for two children. Where an obligor's income is erratic or seasonal, the court may base the calculation on an income averaging approach. The Alaska Supreme Court recognized in Zimin v. Zimin, 837 P.2d 118 (Alaska 1992), that income averaging is appropriate in cases involving variable income, though the averaging period selected must produce a reliable indicator of the obligor's current earning capacity. The court further affirmed this principle in Keturi v. Keturi, 84 P.3d 408 (Alaska 2004), holding that the use of income averaging for an obligor with highly variable income is not an abuse of discretion.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Property division in a dissolution proceeding must fairly allocate the economic effect of the dissolution and take into consideration the factors set forth in AS 25.24.160(a)(4), including the length of the marriage, the age and health of the parties, earning capacity, financial condition, conduct of the parties, the desirability of awarding the family home to the primary custodial parent, the circumstances and necessities of each party, the time and manner of acquisition of the property, and the income-producing capacity and value of the property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PETITION SATISFIES ALL CONDITIONS REQUIRED FOR DISSOLUTION UNDER AS 25.24.200(a).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Okafors' joint petition satisfies each of the statutory prerequisites for dissolution. First, incompatibility of temperament, arising from Marcus's extended seasonal absences and irreconcilable differences over finances and parenting, has caused the irremediable breakdown of the marriage within the meaning of AS 25.24.200(a)(1). Second, as required by AS 25.24.200(a)(2), the parties, who have two unmarried children under the age of nineteen, have reached a full agreement on custody, visitation, and child support. Third, as required by AS 25.24.200(a)(3), the parties have agreed to distribute all jointly held real and personal property, including retirement benefits if any, in a manner that fairly allocates the economic effect of the dissolution. Fourth, as required by AS 25.24.200(a)(4), the parties have agreed to the allocation of all shared debts and obligations, including the outstanding credit card debt of approximately $22,000.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petition therefore presents a complete and facially valid basis for dissolution, and the Court should proceed to examine the proposed agreements under AS 25.24.220(d).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PROPOSED CUSTODY AND PARENTING TIME ARRANGEMENT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propose that Sarah receive primary physical custody of the two minor children during the school year, with Marcus exercising parenting time during the summer months and school breaks. Both parents will share joint legal custody for major decisions regarding education, health care, and general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25.24.220(d)(2), the Court must consider whether the written agreements concerning child custody, child support, and visitation are just as between the parties and in the best interests of the children. The proposed arrangement serves the children's best interests in several respects. The children will maintain stability and continuity during the school year in their primary residence with Sarah, who, as a registered nurse with a consistent employment schedule, is well-positioned to provide regular supervision and care. Marcus, whose commercial fishing schedule is inherently seasonal, will have meaningful and substantial parenting time during periods when he is not at sea, ensuring that the children maintain a close and ongoing relationship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joint legal custody component of the agreement reflects both parents' commitment to shared decision-making on matters of importance to the children's lives, furthering the children's well-being and ensuring that both parents remain engaged in their upbringing. The Alaska Supreme Court's decision in Mahan v. Mahan, 347 P.3d 91 (Alaska 2015), illustrates that dissolution agreements regarding custody are subject to careful scrutiny to ensure that the terms are genuinely in the children's best interests, and the arrangement proposed here reflects that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minor children are involved, the Court must apply heightened scrutiny to the agreements under AS 25.24.220(h)(3) and AS 25.24.220(i). The Court should satisfy itself that the custody arrangement reflects the children's best interests and that neither party has been subject to any coercion in agreeing to these terms. The parties confirm that the agreement was reached freely and represents their genuine, mutual assessment of an arrangement suited to the children's needs and to the practical realities of Marcus's seasonal occupation.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CHILD SUPPORT MUST BE CALCULATED USING AN INCOME AVERAGING METHOD TO ARRIVE AT A FAIR AND REALISTIC ADJUSTED ANNUAL INCOME FOR MARCUS.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Sarah will have primary physical custody during the school year, child support is governed by Civil Rule 90.3(a). For two children, the applicable percentage is 27% of Marcus's adjusted annual income as calculated under Civil Rule 90.3(a)(1). The critical issue is the determination of Marcus's adjusted annual income given the substantial year-to-year variation in his commercial fishing earnings.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addressed the income averaging issue in a line of cases consistent with the commentary to Civil Rule 90.3. In Zimin v. Zimin, 837 P.2d 118 (Alaska 1992), the court held that the goal of the Rule 90.3 guidelines is to obtain a realistic estimate of an obligor's adjusted annual income, and that income averaging over a reasonable period of years is appropriate where the obligor's income is erratic, while cautioning that an overly long averaging period may not accurately reflect current earning capacity. In Keturi v. Keturi, 84 P.3d 408 (Alaska 2004), the court affirmed that where an obligor's business income has been highly variable, income averaging over several years is a permissible and appropriate method, so long as the result reflects a reliable estimate of future earning potential. In Sharon Thompson v. Everett Thompson, 454 P.3d 981 (Alaska 2019), the court similarly approved determination of adjusted annual income based on a party's work history and employment patterns where annual earnings fluctuated.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propose that the Court adopt an averaging period drawn from Marcus's documented fishing income over a representative number of recent years, adjusted for any deductions authorized under Civil Rule 90.3(a)(1), including mandatory tax withholding, self-employment tax, Medicare tax, and any other enumerated deductions. The resulting adjusted annual income figure should then be multiplied by 27% pursuant to Civil Rule 90.3(a)(2)(B) to arrive at the annual child support obligation, which will be paid in equal monthly installments.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approach is fair to both parties. It prevents Marcus from being assessed child support based on an unusually high single-year income that may not recur, while also preventing an artificially low calculation based on a poor season. Sarah and the children are assured a predictable and reasonable level of financial support, and Marcus is protected against an obligation he cannot realistically sustain across the full arc of his commercial fishing career.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also has authority under Civil Rule 90.3(a)(4) to consider whether either parent is voluntarily and unreasonably unemployed or underemployed. There is no suggestion that either party is underemployed here. Marcus works in a demanding and inherently seasonal industry, and Sarah is fully employed as a registered nurse. Accordingly, no imputation of potential income is warranted, and the income averaging methodology is the appropriate tool for establishing Marcus's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PROPOSED PROPERTY DIVISION FAIRLY ALLOCATES THE ECONOMIC EFFECT OF DISSOLUTION AND SATISFIES THE STATUTORY FACTORS UNDER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must consider whether the property settlement agreement is just under AS 25.24.220(d)(3), and the agreement must reflect the factors enumerated in AS 25.24.160(a)(4). The parties propose to divide the following assets and liabilities: the jointly titled family home subject to an outstanding mortgage; the jointly held savings account; Marcus's commercial fishing vessel and gear, valued at approximately $180,000; and shared credit card debt of approximately $22,000.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Consideration of the AS 25.24.160(a)(4) factors supports the proposed division. The marriage lasted approximately ten years, providing a substantial marital period during which both parties contributed to the acquisition of marital assets. Sarah, as the primary custodial parent, has a compelling interest in the family home under AS 25.24.160(a)(4)(F), which specifically directs the court to consider the desirability of awarding the family home, or the right to live in it, to the party who has primary physical custody of the children. The parties' proposed agreement should address the home in a manner that gives appropriate weight to this factor and ensures that the children have a stable residential environment in Juneau.</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fishing vessel and associated gear, while substantial in value, represent the primary instrument of Marcus's livelihood. Awarding this property to Marcus is consistent with AS 25.24.160(a)(4)(I), which requires consideration of the income-producing capacity of the property, as well as AS 25.24.160(a)(4)(H), which directs attention to the time and manner of acquisition. The Alaska Supreme Court's decision in Sharon Thompson v. Everett Thompson, 454 P.3d 981 (Alaska 2019), confirms that assets integral to a party's ongoing business or livelihood are properly evaluated in light of each spouse's earning capacity and the income-producing function of the asset.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the shared credit card debt of approximately $22,000, the parties propose an equitable allocation of this obligation consistent with AS 25.24.200(a)(4), which requires agreement as to the payment of all unpaid obligations incurred by either or both spouses. The allocation should fairly reflect each party's ability to service debt in light of their respective incomes and post-dissolution financial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savings account, as a jointly held liquid asset, should be divided in a manner that reflects the equities between the parties, taking into account any imbalances in the overall property division, particularly the award of the high-value fishing vessel to Marcus.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whole, the proposed settlement should fairly allocate the economic effect of the dissolution in accordance with AS 25.24.160(a)(4) and AS 25.24.200(e). The Alaska Supreme Court's analysis in Fernau v. Rowdon, 42 P.3d 1047 (Alaska 2002), confirms that property division, rather than ongoing maintenance, is the preferred mechanism for addressing the parties' post-dissolution financial needs, and the parties' comprehensive property settlement is designed with that principle in mind.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WRITTEN AGREEMENTS CONSTITUTE THE ENTIRE AGREEMENT BETWEEN THE PARTIES AS REQUIRED BY AS 25.24.220(d)(4).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25.24.220(d)(4), the Court must determine that the written agreements between the parties constitute the entire agreement. The parties confirm that no side agreements, oral understandings, or undisclosed arrangements exist between them. The petition and attached settlement documents represent the complete and integrated expression of the parties' mutual obligations and undertakings with respect to all issues arising from their dissolution, including custody, child support, parenting time, property division, and debt allocation. The forms required by AS 25.24.250 have been prepared and submitted in conformity with the requirements of the Alaska Rules of Civil Procedure and specify that the dissolution petition constitutes the entire agreement between the parties.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HEIGHTENED SCRUTINY IS SATISFIED AND THE COURT SHOULD APPROVE THE AGREEMENTS.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parties have minor children, AS 25.24.220(h)(3) requires the Court to apply a heightened level of scrutiny to the written agreements. Under AS 25.24.220(i), the Court must examine the agreements to determine that they are just, that they constitute the entire agreement, and that the custody, child support, and visitation provisions are in the best interests of the children. The Court must require both parties to appear at the hearing unless appearance would constitute a significant hardship, which is not alleged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Both parties should appear at the hearing prepared to demonstrate to the Court's satisfaction that the agreements are just and were entered into freely, with full understanding of their nature and consequences. The Gorton v. Mann, 281 P.3d 81 (Alaska 2012), decision reflects the Alaska Supreme Court's careful attention to the mechanics of child support calculation under Civil Rule 90.3, and the Faulkner v. Goldfuss, 46 P.3d 993 (Alaska 2002), decision confirms that the court independently evaluates the sufficiency of child-related agreements rather than deferring solely to the parties' stipulations. This brief and the supporting petition provide the factual and legal foundation necessary to satisfy the Court's heightened review.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Marcus Okafor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the conditions for dissolution under AS 25.24.200(a) have been satisfied, including the irremediable breakdown of the marriage due to incompatibility of temperament;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Approve the proposed parenting agreement providing for primary physical custody in Sarah Okafor during the school year, meaningful parenting time for Marcus Okafor during summer months and school breaks, and joint legal custody for major decisions, upon finding that the agreement is just and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Calculate Marcus Okafor's child support obligation under Civil Rule 90.3(a) using an income averaging methodology applied to his documented commercial fishing earnings over a reasonable and representative period of years, with the annual obligation set at 27% of his adjusted annual income for two children under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Review and approve the proposed property settlement agreement, including the allocation of the family home, the commercial fishing vessel and gear, the joint savings account, and the shared credit card debt, upon finding that the agreement fairly allocates the economic effect of dissolution in accordance with AS 25.24.160(a)(4) and AS 25.24.200(e);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Find that the written agreements constitute the entire agreement between the parties pursuant to AS 25.24.220(d)(4);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Enter a decree of dissolution of the marriage of Marcus Okafor and Sarah Okafor consistent with the foregoing findings and the terms of the parties' agreement.</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2026-08-16T19:02:17.191Z</dcterms:created>
  <dcterms:modified xsi:type="dcterms:W3CDTF">2026-08-16T19:02:17.191Z</dcterms:modified>
</cp:coreProperties>
</file>

<file path=docProps/custom.xml><?xml version="1.0" encoding="utf-8"?>
<Properties xmlns="http://schemas.openxmlformats.org/officeDocument/2006/custom-properties" xmlns:vt="http://schemas.openxmlformats.org/officeDocument/2006/docPropsVTypes"/>
</file>