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Bergstrom respectfully petitions this Court for a formal award of legal and physical custody of his daughter, Mia Bergstrom, born January 2023, and for entry of a parenting plan that preserves and protects his relationship with Mia. No court has ever entered a custody or visitation order concerning this child. The parties separated in March 2024 after a three-year romantic relationship in Anchorage, Alaska, and have since operated under an informal, unenforceable verbal arrangement. Respondent Danielle Bergstrom has now announced her intention to relocate with Mia approximately 360 miles away to Fairbanks for new employment, a move that would effectively eliminate the informal parenting schedule Tomas and Mia have relied upon since separation. Because the parties cannot agree on a custody arrangement or on whether relocation is appropriate, Tomas now asks this Court to exercise its authority under Alaska law, evaluate the best interests of Mia, and enter a formal order establishing legal custody, physical custody, and a structured parenting plan that ensures Mia maintains frequent and continuing contact with her father.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Bergstrom and Danielle Bergstrom began a romantic relationship approximately three years before their separation in March 2024. Both parties resided in Anchorage, Alaska, throughout their relationship. Their daughter, Mia Bergstrom, was born in January 2023 in Anchorage. The parties were never married.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their separation in March 2024, Mia began residing primarily with Danielle at her Anchorage apartment. Tomas has exercised parenting time with Mia several days per week pursuant to an informal, unwritten verbal arrangement between the parties. This arrangement has never been reviewed or approved by any court, and no custody or visitation order of any kind has ever been entered with respect to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been an active and engaged parent since Mia's birth. He has been consistently present for the child's care, has developed a close and loving bond with Mia, and has exercised his parenting time reliably under the existing informal schedule. He is willing and able to meet Mia's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Recently, Danielle informed Tomas that she intends to relocate with Mia from Anchorage to Fairbanks, Alaska, to accept new employment. She has not sought Tomas's consent or petitioned this Court for permission to relocate. The proposed move would place the parties approximately 360 miles apart, rendering the existing informal parenting schedule physically and financially impractical and, as a practical matter, impossible to continue. No mechanism exists under the current informal arrangement to prevent this relocation or to protect Tomas's ongoing relationship with Mia. Tomas brings this petition to obtain a formal custody determination before any relocation occurs so that this Court, rather than unilateral parental action, may determine what custody arrangement best serves Mia's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may petition the superior court for resolution of a child custody dispute. The court is required to award custody on the basis of the best interests of the child and must consider all relevant factors, including those enumerated in AS 25.24.150(c). No preference is afforded to either parent by reason of gender or marital status.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a court must consider in determining a child's best interests under AS 25.24.150(c)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unless it is shown to be detrimental to the child's welfare or unless the domestic violence presumption under AS 25.24.150(g) applies, the child shall have, to the greatest degree practical, equal access to both parents during the period the court considers a custody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shared custody is at issue, AS 25.20.090 directs the court to consider additional factors, including the stability of the home environment each parent is likely to offer, the child's educational needs, the advantages of keeping the child in the community where she currently resides, the optimal time for the child to spend with each parent, and each parent's willingness and ability to facilitate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examine all best-interest factors when making an initial custody determination. In Smith v. Weekley, 73 P.3d 1219 (Alaska 2003), the court emphasized that the statutory best-interest factors govern all custody determinations, whether initial or final. Corbeau v. Dietrich, 445 P.3d 830 (Alaska 2009), the court affirmed that a parent's demonstrated willingness to foster a close and continuing relationship between the child and the other parent is a weighty consideration in a custody determination. In Pingree v. Cossette, 424 P.3d 371 (Alaska 2018), the court recognized that geographic distance between parents is a material factor the court must account for when structuring a custody arrangement. In Rooney v. Rooney, 914 P.2d 212 (Alaska 1996), the court addressed circumstances in which a parent unilaterally relocated with a child, affirming that courts must intervene to ensure the child's best interests are protected in such situations. In Brian Ott v. Haley Runa, 463 P.3d 180 (Alaska 2020), the court upheld a primary physical custody award made after evidentiary hearings and confirmed that the court's thorough evaluation of the best-interest factors is the cornerstone of any custody decision.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once custody is established, will be calculated under Civil Rule 90.3(a) if one parent is awarded primary physical custody, or under Civil Rule 90.3(b) if the parties are awarded shared physical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AUTHORITY AND JURISDICTION TO ENTER AN INITIAL CUSTODY ORDER GOVERNING MIA BERGSTROM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25.20.060(a) provides that if there is a dispute over child custody, "either parent may petition the superior court for resolution of the matter." A dispute over custody exists here: Tomas seeks formal legal and physical custody with a structured parenting plan, and Danielle's stated intention to relocate with Mia to Fairbanks without agreement or court approval makes clear that the parties cannot resolve the matter without judicial intervention. This Court has jurisdiction to enter an initial custody order and should do so now, before any relocation is effectuated and before Tomas's relationship with Mia is further disrupted by unilateral parental action.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MIA REQUIRE A FORMAL CUSTODY ORDER THAT ENSURES FREQUENT AND CONTINUING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Court Must Apply the Best-Interest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 sets forth the factors this Court must weigh in any custody determination. Each of those factors, applied to Mia's circumstances, supports entry of a formal order providing Tomas with meaningful legal and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Physical, Emotional, Mental, Religious, and Social Needs (AS 25.24.150(c)(1)). Mia is a toddler, now approximately eighteen months old. Children of this age require consistency, stability, and nurturing relationships with both caregiving figures in their lives. Mia has had both parents present since her birth, and her emotional development has proceeded in a two-parent environment. Disruption of that environment by relocating her to Fairbanks, a city where she has no established relationships, no familiar surroundings, and no established support network, poses a direct risk to her emotional and social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Capability and Desire of Each Parent to Meet the Child's Needs (AS 25.24.150(c)(2)). Tomas has demonstrated his capability and desire to meet Mia's needs through consistent parenting time since separation. He has provided care, emotional support, and stability for Mia on a regular basis. A formal order should recognize this commitment and provide Tomas with sufficient legal authority to participate fully in major decisions affecting Mia's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Love and Affection Between the Child and Each Parent (AS 25.24.150(c)(4)). Mia has spent substantial time with Tomas throughout her life. The bond between Tomas and Mia is strong, loving, and developmentally important. A relocation to Fairbanks, approximately 360 miles from Anchorage, would substantially impair Tomas's ability to maintain the frequency of contact that has characterized his relationship with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Length of Time the Child Has Lived in a Stable, Satisfactory Environment and the Desirability of Maintaining Continuity (AS 25.24.150(c)(5)). Since separation, Mia has resided primarily in Anchorage, a city in which Tomas also resides and in which Mia has been embedded in a community environment since birth. The desirability of maintaining that continuity weighs heavily against relocation. As the court recognized in Pingree v. Cossette, 424 P.3d 371 (Alaska 2018), geographic distance between parents is a significant factor in structuring a custody arrangement that serves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Willingness and Ability to Facilitate a Continuing Relationship (AS 25.24.150(c)(6)). Danielle's stated intention to relocate with Mia to Fairbanks without obtaining Tomas's agreement or a court order raises serious questions about her willingness to facilitate Mia's continuing relationship with her father. As the Alaska Supreme Court noted in Nancy M. v. John M., 308 P.3d 1130 (Alaska 2013), the willingness of a parent to foster a close and continuing relationship between the child and the other parent is a significant factor that may tip the balance in a custody determination. A parent who acts unilaterally to remove a child from the child's home community, without court approval and without the other parent's consent, undermines the cooperative co-parenting relationship that serves the child's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Other Pertinent Factors (AS 25.24.150(c)(9)). The absence of any existing formal custody order has created legal vulnerability for Tomas. He currently has no enforceable right to parenting time and no legal mechanism to prevent Danielle from removing Mia from Anchorage. This Court should enter a formal order immediately to protect Mia's interests and to provide both parents with clear, enforceable rights and obligations. The court addressed a similar situation in Rooney v. Rooney, 914 P.2d 212 (Alaska 1996), where a parent's unilateral relocation of a child prompted the court to intervene and restructure the custody arrangement to serve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Shared Physical Custody Is in Mia's Best Interests If Both Parents Remain in or Near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Danielle remains in Anchorage or relocates to a location that makes co-parenting logistically feasible, shared physical custody is in Mia's best interests. AS 25.20.060(c) provides that the court may award shared custody if shared custody is determined to be in the best interests of the child and further states that "an award of shared custody shall assure that the child has frequent and continuing contact with each parent to the maximum extent possible." Each of the relevant factors under AS 25.20.090 supports shared custody in these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stability of each parent's home environment is comparable. Both Tomas and Danielle have provided Mia with appropriate care and living conditions. The child currently resides in Anchorage; keeping her in Anchorage maintains community continuity and is advantageous for her development, as contemplated by AS 25.20.090(5). Both parents live in Anchorage, making transitions between households feasible. Tomas's work schedule and living situation permit him to provide care for Mia on a regular basis, making a shared custody arrangement operationally 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unless a detriment to the child's welfare is shown or the domestic violence presumption under AS 25.24.150(g) applies, "the child shall have, to the greatest degree practical, equal access to both parents during the time that the court considers an award of custody." There is no evidence of domestic violence, child abuse, child neglect, or substance abuse in this case. Accordingly, this statutory directive supports shared physical custody during the pendency of this proceeding and as a formal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If Danielle Relocates to Fairbanks, Primary Physical Custody Should Be Awarded to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does not restrain Danielle from relocating prior to entry of a formal custody order, and if Danielle proceeds with relocating to Fairbanks, primary physical custody of Mia should be awarded to Tomas in Anchorage. Mia has lived in Anchorage her entire life. Her father, her community, and her established environment are all in Anchorage. Moving Mia to Fairbanks would uproot her from the only home she has ever known to facilitate a parent's employment decision, not to advance Mia's own interests. The continuity factor under AS 25.24.150(c)(5), the community-maintenance factor under AS 25.20.090(5), and the willingness-to-facilitate factor under AS 25.24.150(c)(6) would all weigh against awarding primary physical custody to a parent who has relocated the child hundreds of miles from her established home without the other parent's agreement or court approval. As the Alaska Supreme Court observed in Rooney v. Rooney, 914 P.2d 212 (Alaska 1996), unilateral relocation of a child, particularly when the other parent actively objects, is a circumstance requiring careful judicial scrutiny that may justify a reallocation of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JOINT LEGAL CUSTODY IS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requests joint legal custody so that he has an equal voice in major decisions affecting Mia's life, including decisions about her education, medical care, and religious upbringing. Joint legal custody is consistent with AS 25.20.060(c), which permits the court to award shared custody when it is in the best interests of the child, and with the best-interest framework of AS 25.24.150(c). Nothing in this record suggests that the parties are incapable of communicating on matters of major importance to their daughter, and both parents have demonstrated love and concern for Mia. Joint legal custody serves Mia's interests by ensuring that both of her parents remain meaningfully involved in her upbringing.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CONSIDER APPOINTING A CUSTODY INVESTIGATOR OR NEUTRAL EXPERT TO ASSIST IN ITS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Mia's young age and the parties' inability to reach a written agreement, this Court has authority under Alaska R. Evid. 930(a) to appoint an expert witness, including a custody evaluator, to assist the Court in assessing the best-interest factors. Alaska R. Evid. 938(a) provides that "the court may on its own motion or on the motion of any party enter an order to show cause why expert witnesses should not be appointed." A neutral custody evaluator could assess each parent's home environment, parenting strengths and areas of need, and the nature of Mia's relationships with each parent, and could provide recommendations to this Court on an appropriate custody arrangement. Under Alaska R. Evid. 104(a), the Court retains authority to determine the admissibility and weight of any evidence presented, including any expert report or evaluation. Tomas respectfully requests that the Court consider this option if the factual record requires further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CALCULATED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this Court determines the appropriate custody arrangement, it should calculate child support in accordance with the Alaska Civil Rules. If one parent is awarded primary physical custody, child support will be calculated under Civil Rule 90.3(a), which provides that the award is "an amount equal to the adjusted annual income of the non-custodial parent multiplied by a percentage" determined by the number of children subject to the order. If the Court awards shared physical custody, child support will be calculated under Civil Rule 90.3(b) using the formula specific to shared custody arrangements. Tomas asks the Court to set child support at an amount consistent with these guidelines once the custody structure is established.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Mia Bergstrom is a young child who has known both of her parents as active, present caregivers since her birth. No court order has ever protected that relationship, and the threat of unilateral relocation has now made the absence of a formal order a matter of immediate consequence. Tomas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its authority under AS 25.20.060 to enter a formal initial custody order governing Mia Bergstrom;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joint legal custody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shared physical custody if both parents remain in or near Anchorage, or award primary physical custody to Tomas if Danielle relocates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 a detailed parenting plan that ensures Mia has frequent and continuing contact with both parents, consistent with AS 25.20.060(c) and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Consider appointing a neutral custody evaluator under Alaska R. Evid. 706(a) to assist in assessing the best-interest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Calculate child support in accordance with Civil Rule 90.3(a) or Civil Rule 90.3(b), as applicable, once the custody structure is determined;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relief as the Court deems just and proper in Mia's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2026-08-16T19:20:09.599Z</dcterms:created>
  <dcterms:modified xsi:type="dcterms:W3CDTF">2026-08-16T19:20:09.599Z</dcterms:modified>
</cp:coreProperties>
</file>

<file path=docProps/custom.xml><?xml version="1.0" encoding="utf-8"?>
<Properties xmlns="http://schemas.openxmlformats.org/officeDocument/2006/custom-properties" xmlns:vt="http://schemas.openxmlformats.org/officeDocument/2006/docPropsVTypes"/>
</file>