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Whitfield ("Ashley") respectfully petitions this Court to establish a formal custody and visitation order governing the parties' two-year-old daughter, Lily Whitfield ("Lily"). Ashley and Maria Whitfield ("Maria") separated in March 2024 following approximately three years together. Since the separation, the parties have operated under a series of informal, unenforceable verbal arrangements that have produced inconsistent parenting time for Ashley and no legal protection for Lily's right to maintain a meaningful relationship with both of her parents. Maria has now announced her intention to relocate with Lily from Anchorage to Juneau for employment purposes, a development that threatens to eliminate Ashley's practical access to her daughter in the complete absence of any binding court order. Without judicial intervention, Ashley has no enforceable right to parenting time, no mechanism to contest the relocation, and no assurance that Lily's relationship with her will be preserved. This Court therefore has both the authority and the obligation under AS 25.20.060 to enter a custody order reflecting Lily's best interests and ensuring frequent and continuing contact with both of her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Whitfield and Maria Whitfield commenced a romantic relationship in approximately early 2021. During that relationship, the parties had one child together, Lily Whitfield, who was born in 2022 and is currently approximately two years of age. The parties' relationship deteriorated over time due to increasing conflict regarding finances and the allocation of parenting responsibilities, ultimately resulting in a separation in March 2024.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separation, Lily has resided primarily at Maria's apartment in Anchorage. Ashley has exercised parenting time on an informal, inconsistent basis pursuant to verbal arrangements reached between the parties from time to time. No formal custody, visitation, or child support order has ever been entered by any court. The parties initially believed that they could manage co-parenting cooperatively without court involvement, and thus no petition was filed at the time of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has recently informed Ashley that she intends to relocate with Lily to Juneau, Alaska, in connection with a new employment opportunity. Maria has not sought court approval for this relocation, and no court order exists that would either permit or prohibit it. Ashley objects to the proposed relocation and fears that if Maria departs Anchorage with Lily before any order is entered, Ashley's ability to maintain regular, meaningful contact with her daughter will be severely and perhaps irreparably diminished. Because no legally binding order governs the parties' custody arrangement, Ashley has no enforceable right to parenting time and no procedural mechanism through which to ensure that Lily remains available to her during the pendency of this proceeding. Ashley therefore brings this petition to establish a formal custody and visitation arrangement and to address the threatened relocation, all in the best interests of Lily.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25.20.060 governs initial custody determinations between parents who are not married and who dispute custody of a minor child. The statute provides that if there is a dispute over child custody, either parent may petition the superior court for resolution, and that "the court shall award custody on the basis of the best interests of the child." AS 25.20.060(a). Neither parent is entitled to a preference in the awarding of custody, regardless of any question of the child's legitimacy. AS 25.20.060(b). The court may award shared custody to both parents if shared custody is determined to be in the best interests of the child, and any such award must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the court must consider in determining the best interests of the child are set forth in AS 25.24.150(c), which identifies nine categories of relevant considerations. These include the physical, emotional, mental, religious, and social needs of the child; the capability and desire of each parent to meet those needs; the child's preference, if the child is of sufficient age and capacity to form one;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by either parent or household member that directly affects the child's well-being; and any other factors the court considers pertinent. AS 25.24.150(c)(1)-(9). The court may consider only those facts that directly affect the well-being of the child. AS 25.24.150(d).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paramount consideration in all custody determinations is the best interests of the child. Jaymot v. Skillings-Donat, 216 P.3d 534 (Alaska 2009); Brian Ott v. Haley Runa, 463 P.3d 180 (Alaska 2020); Pingree v. Cossette, 424 P.3d 371 (Alaska 2018). The court's discretion in structuring a custody arrangement is broad, but it must be exercised with careful attention to the statutory factors and the totality of each family's circumstances. Harris v. Governale, 311 P.3d 1052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custody order is entered, it may be modified only upon a showing that a change in circumstances has occurred and that modification is in the best interests of the child. AS 25.20.110(a). Because no prior order exists here, this proceeding is an initial custody determination under AS 25.20.060, and Ashley need not meet any changed-circumstances threshold. The Court's sole inquiry is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this matter will be governed by Civil Rule 90.3. In a case in which one parent is awarded primary physical custody, support is calculated as an amount equal to the adjusted annual income of the non-custodial parent multiplied by the applicable percentage set forth in Civil Rule 90.3(a)(2). For two children the applicable percentage is 27%, and for one child the applicable percentage is 20%. Civil Rule 90.3(a)(2)(A)-(B). Where the parents are awarded shared physical custody, support is calculated under the formula set forth in Civil Rule 90.3(b)(1). The court may vary the guideline amount upon proof by clear and convincing evidence that manifest injustice would result if the award were not varied. Civil Rule 90.3(c)(1).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PROPER JURISDICTION AND AUTHORITY TO ENTER AN INITIAL CUSTODY ORDER GOVERNING LILY WHITFIELD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enter an initial custody order under AS 25.20.060. Lily has resided in Anchorage, Alaska with Maria since the parties' separation in March 2024. Alaska is therefore Lily's home state for jurisdictional purposes. Both parents are present and subject to service in Alaska. No prior custody order has been entered by any court in any jurisdiction. Accordingly, this Court is the appropriate and proper forum for resolution of the custody dispute and entry of the initial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prior order does not disadvantage Ashley in this proceeding. Because this is an initial custody determination rather than a modification, Ashley is not required to demonstrate a change in circumstances under AS 25.20.110(a). Instead, the Court's inquiry is guided solely by the best interests factors under AS 25.24.150(c), as incorporated into AS 25.20.060(a). The Alaska Supreme Court has confirmed that in initial custody proceedings, courts must undertake a thorough, factor-by-factor analysis of the child's best interests without affording either parent a presumptive advantage. Jaymot v. Skillings-Donat, 216 P.3d 534 (Alaska 2009).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STATUTORY BEST INTERESTS FACTORS SUPPORT AN ORDER GRANTING ASHLEY MEANINGFUL AND ENFORCEABLE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consider all factors enumerated in AS 25.24.150(c) in making its custody determination. An analysis of those factors in the context of this family supports an award that preserves Lily's relationship with both parents and ensures that Ashley enjoys regular, legally enforceable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Lily's Physical, Emotional, Mental, Religious,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is approximately two years of age, a developmental stage during which children require consistency, stability, and the love and presence of all parental figures in their lives. At this stage, disruption to established attachment bonds can have lasting consequences for a child's emotional and psychological development. Ashley has been an active presence in Lily's life since birth, and Lily's well-being is served by maintaining that attachment. AS 25.24.150(c)(1).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Capability and Desire of Each Parent to Meet Lily's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has demonstrated a genuine desire to be involved in Lily's care and upbringing. Despite the lack of any formal order compelling her participation, Ashley has sought parenting time throughout the post-separation period and now brings this petition specifically to secure her ability to parent Lily consistently going forward. The Court should credit Ashley's proactive engagement as evidence of her capability and desire to meet Lily's needs. AS 25.24.150(c)(2).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Length of Time Lily Has Lived in a Stable Environment and the Desirability of Maintaining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has resided primarily in Anchorage since birth. Her current primary home, her community connections, and any childcare or early education arrangements are rooted in Anchorage. A relocation to Juneau, in the absence of a court order and without any process for evaluating the impact on Lily, would sever those connections abruptly. The Alaska Supreme Court has recognized the importance of stability and continuity to young children in custody proceedings, and courts are expected to weigh the disruption caused by relocation carefully. Pingree v. Cossette, 424 P.3d 371 (Alaska 2018); Mendel-Gleason v. Harris, 261 P.3d 397 (Alaska 2011). AS 25.24.150(c)(5) specifically directs the Court to consider this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Willingness and Ability of Each Parent to Facilitate a Close and Continuing Relationship Between the Child and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unilateral announcement of a planned relocation to Juneau, made in the absence of any prior court order and without apparent regard for Ashley's parenting relationship with Lily, raises concerns about Maria's willingness to facilitate a close and continuing relationship between Lily and Ashley. AS 25.24.150(c)(6) requires the Court to evaluate this factor. Courts must examine whether each parent's conduct is likely to support or undermine the child's relationship with the other parent. The Alaska Supreme Court has treated a parent's willingness to facilitate the other parent's relationship with the child as a significant consideration in custody determinations. Jayda Roman v. Cleveland Karren, 461 P.3d 1252 (Alaska 2020); Harris v. Governale, 311 P.3d 1052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Love and Affection Existing Between Lily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Ashley's petition itself reflects her deep love for and commitment to her daughter. The informal parenting time she has exercised since the separation, though inconsistent by virtue of its unenforceable nature, demonstrates that a bond exists between Ashley and Lily. The Court should consider this bond in shaping a custody order that protects and nurtures it. AS 25.24.150(c)(4).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ASHLEY IS ENTITLED TO A FORMAL CUSTODY ORDER BECAUSE NO ENFORCEABLE ARRANGEMENT CURRENTLY EXISTS AND MARIA'S PLANNED RELOCATION CREATES URGENT NEED FOR JUDICIAL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reliance on informal verbal agreements has proven inadequate to protect Ashley's parenting relationship with Lily. Verbal arrangements are unenforceable, subject to unilateral revision by either party, and provide no basis for legal relief if one party fails to honor them. Maria's announced intention to relocate to Juneau illustrates precisely the risk that informal arrangements create: a parent may at any time take steps that fundamentally alter the other parent's access to the child, with no mechanism for recourse absent a court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25.20.060(a), either parent may petition the superior court for resolution of a custody dispute, and the court shall award custody on the basis of the best interests of the child. Ashley properly invokes this provision. The statute further provides that the court shall assure frequent and continuing contact between the child and each parent to the maximum extent possible when shared custody is in the child's best interests. AS 25.20.060(c). Ashley requests an order reflecting these principles.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relocation to Juneau is particularly consequential in the context of this proceeding. While Alaska courts recognize that a parent's employment opportunities are a legitimate consideration in custody matters, the best interests of the child remain the paramount inquiry. Pingree v. Cossette, 424 P.3d 371 (Alaska 2018). A move from Anchorage to Juneau would significantly increase the geographic and logistical obstacles to Ashley's parenting time, and the Court must weigh the impact of that distance on Lily's relationship with Ashley as part of its best interests analysis. The Alaska Supreme Court's decision in Jayda Roman v. Cleveland Karren, 461 P.3d 1252 (Alaska 2020), reflects the complexity that relocation introduces into custody arrangements and underscores the importance of having a court evaluate the matter before any move is effectuated.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respectfully urges the Court to enter interim relief preserving the status quo pending a full hearing on the merits, and thereafter to enter a final order establishing custody and parenting time in a manner that serves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ENTER A CHILD SUPPORT ORDER CONSISTENT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establishes the custody arrangement, it must also address child support. If the Court awards primary physical custody to one parent, child support for Lily shall be calculated pursuant to Civil Rule 90.3(a), which sets the obligation at "an amount equal to the adjusted annual income of the non-custodial parent multiplied by a percentage" specified in Civil Rule 90.3(a)(2). For one child, that percentage is 20%. Civil Rule 90.3(a)(2)(A). Adjusted annual income is calculated by subtracting from total income all mandatory deductions enumerated in Civil Rule 90.3(a)(1)(A), as well as certain voluntary retirement contributions, prior child or spousal support obligations, work-related child care expenses, and health insurance premiums as set forth in Civil Rule 90.3(a)(1)(B) through (F).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instead awards shared physical custody, support shall be calculated under the formula set forth in Civil Rule 90.3(b)(1), which requires calculation of the hypothetical amount each parent would owe the other assuming the other had primary custody, adjustment for the percentage of time each parent has custody, and computation of the net obligation. The Court may deviate from the guideline amount only upon proof by clear and convincing evidence that "manifest injustice would result if the support award were not varied." Civil Rule 90.3(c)(1). The minimum child support amount that may be ordered is $50 per month. Civil Rule 90.3(c)(3).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that the Court order appropriate child support consistent with these guidelines based on both parties' verified income information, to be submitted at or before the hearing on this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Whitfield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Accept jurisdiction over this initial custody proceeding pursuant to AS 25.20.060;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interim relief preserving the status quo and prohibiting the relocation of Lily Whitfield from Anchorage, Alaska, pending a full evidentiary hearing on the merits;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Following a full hearing, enter a final custody and visitation order governing Lily Whitfield that is in her best interests, ensures frequent and continuing contact with both parents to the maximum extent possible, and provides Ashley with legally enforceable parenting time consistent with AS 25.20.060 and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Address the proposed relocation to Juneau as part of the best interests analysis, weighing all factors set forth in AS 25.24.150(c);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Enter a child support order consistent with Civil Rule 90.3 based on the verified income information of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Respectfully submitted on behalf of the petitioner, Ashley Whitfield.</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2026-08-16T19:24:32.521Z</dcterms:created>
  <dcterms:modified xsi:type="dcterms:W3CDTF">2026-08-16T19:24:32.521Z</dcterms:modified>
</cp:coreProperties>
</file>

<file path=docProps/custom.xml><?xml version="1.0" encoding="utf-8"?>
<Properties xmlns="http://schemas.openxmlformats.org/officeDocument/2006/custom-properties" xmlns:vt="http://schemas.openxmlformats.org/officeDocument/2006/docPropsVTypes"/>
</file>