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(doc-0064)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Okafor respectfully petitions this Court to establish legal and physical custody of Lily Okafor, a four-year-old child born to Petitioner and Respondent Wesley Okafor. The parties were never married and have no formal custody order governing their parental rights and responsibilities. Since the parties separated in early 2023, Lily has resided primarily with Petitioner in Anchorage. Respondent has recently begun taking Lily for extended, unannounced periods without Petitioner's knowledge or consent, creating instability and disruption that is harmful to the child's well-being. Petitioner seeks a binding court order establishing legal and physical custody, and a structured parenting plan, so that Lily may enjoy the stability, continuity, and security she deserves. This Court has authority under AS 25.20.060 to resolve this custody dispute and must do so in accordance with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Okafor and Wesley Okafor are the biological parents of Lily Okafor, born in 2019. The parties were never married. They cohabited in Anchorage, Alaska for approximately three years. In early 2023, ongoing conflicts made cohabitation untenable, and Wesley voluntarily moved out of the family home. Since that time, Lily has resided primarily with Renee at the Anchorage family home, and Renee has served as Lily's primary caregiver in all material respects, attending to Lily's daily physical, emotional, educational,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separation, the parties operated under an informal, loosely agreed-upon parenting arrangement under which Wesley exercised parenting time on an irregular basis. No formal custody order has ever been entered by any court in this or any other jurisdiction. The informal arrangement functioned with varying degrees of cooperation until recently, when Wesley began taking Lily for extended periods without providing Renee advance notice and without Renee's consent. These unannounced removals have grown in frequency and duration, leaving Renee without knowledge of Lily's whereabouts and without the ability to ensure continuity in Lily's routine, medical care, or early childhood programming.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 is four years old and at a developmentally critical age during which stability, predictability, and consistent caregiving are essential to healthy development. The absence of a formal custody order has created an environment of legal uncertainty that benefits neither parent and, most importantly, harms Lily. Petitioner now seeks a formal determination of legal and physical custody and the entry of a structured parenting plan so that both parents understand their rights and obligations and so that Lily may thrive in a stable, well-defined environment.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authority to award custody of a child born to unmarried parents upon the petition of either parent. AS 25.20.060 provides the governing statutory framework for custody disputes between parents who were not married, directing that the court shall award custody on the basis of the best interests of the child and that in determining the best interests of the child, the court shall consider all relevant factors, including those factors enumerated in AS 25.24.150(c). Under AS 25.20.923, neither parent is entitled to a preference in the awarding of custody regardless of the child's legitimacy, meaning the fact that the parties were unmarried confers no automatic advantage to either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factors the Court must consider under AS 25.24.150(c) include: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that substance abuse by either parent directly affects the child's well-being; and other factors the court considers pertinent. AS 25.24.150(d) further specifies that in awarding custody the court may consider only those facts that directly affect the well-being of the child under all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trial court must conduct a holistic analysis of all applicable best interests factors and that stability and continuity of environment are particularly significant considerations in custody determinations. Green v. Parks, 338 P.3d 312 (Alaska 2014). Where parents have operated under an informal arrangement and one parent has served consistently as the primary caregiver, courts consider the established caregiving pattern as relevant to the stability and continuity factor. Daves v. McKinley, 425 P.3d 92 (Alaska 2018). The Alaska Supreme Court has also recognized that a parent's willingness to facilitate the child's relationship with the other parent is a meaningful factor in the best interests analysis. Pingree v. Cossette, 424 P.3d 371 (Alaska 2018).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HAS AUTHORITY TO ESTABLISH CUSTODY OF LILY OKAFOR UNDER AS 25.20.060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 expressly authorizes either parent to petition the superior court for resolution of a custody dispute, and directs the court to award custody on the basis of the best interests of the child. Because no custody order has ever been entered for Lily, this petition is properly before the Court as an initial custody determination. The Court is not constrained by any prior order and should conduct a full best interests analysis to determine the custody arrangement that best serves Lily's needs. The absence of any existing order means there is no change-of-circumstances requirement, and the Court may proceed directly to an evaluation of the statutory best interests factors under AS 25.24.150(c). Mendel-Gleason v. Harris, 261 P.3d 397 (Alaska 2011).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LILY OKAFOR FAVOR AN AWARD OF PRIMARY PHYSICAL CUSTODY TO PETITIONER WITH STRUCTURED PARENTING TIME FOR RESPONDENT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Lily's Need for Stability and Continuity Strongly Favors Primary Physical Custody with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most significant best interests factors is the length of time the child has lived in a stable, satisfactory environment and the desirability of maintaining continuity. AS 25.24.150(c)(5). Since the parties separated in early 2023, Lily has lived primarily with Renee in the Anchorage family home. Renee has been Lily's consistent caregiver throughout this period, attending to Lily's daily needs, health care, and early childhood development. This established, stable environment warrants protection. Disrupting Lily's primary living arrangement at age four, when consistency and routine are developmentally critical, would not serve her best interests. Green v. Parks, 338 P.3d 312 (Alaska 2014) (affirming primary physical custody where child had lived in stable environment with primary caregiver, and emphasizing desirability of maintaining that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recent pattern of taking Lily for extended, unannounced periods without Renee's consent directly undermines the stability Lily requires. Far from providing a structured alternative caregiving environment, Wesley's conduct has introduced unpredictability and disruption into Lily's life. Courts consider the stability of the proposed custodial arrangement as a central best interests factor, and the record here demonstrates that Renee's home has provided and can continue to provide the stable, satisfactory environment Lily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Renee Has Demonstrated Capability and Desire to Meet Lily's Physical, Emotional, Mental,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and (c)(2) direct the Court to consider the child's physical, emotional, mental, and social needs and the capability and desire of each parent to meet those needs. Renee has served as Lily's primary caregiver since the parties' separation, providing day-to-day care, medical attention, and emotional support. She has maintained Lily in a stable home environment and has been attentive to Lily's developmental needs as a young child. The record supports a finding that Renee has both the capability and desire to meet all of Lily's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By contrast, Wesley's recent conduct, specifically taking Lily for extended periods without notice and without Renee's consent, reflects a disregard for the child's need for routine and for both parents' cooperation in managing Lily's care. At age four, Lily depends on predictable caregiving schedules. Wesley's unannounced removals interfere with Lily's routine and demonstrate a failure to consider how his conduct affects Lily's well-being. AS 25.24.150(d) limits the Court to considering only those facts that directly affect the well-being of the child, and Wesley's pattern of conduct directly and adversely affects Lily's stability and security.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Petitioner Has Demonstrated Willingness to Facilitate Lily's Relationship with Her Father; Respondent Has Not Reciprocated.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the willingness and ability of each parent to facilitate and encourage a close and continuing relationship between the other parent and the child. Renee has permitted Wesley to exercise parenting time with Lily throughout the period since separation, operating under a loosely agreed-upon informal schedule. She has not sought to exclude Wesley from Lily's life, and she acknowledges the importance of Lily maintaining a meaningful relationship with her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however, has not demonstrated a corresponding commitment to cooperation. His unannounced, extended takings of Lily without Renee's consent reflect a unilateral approach to parenting time that bypasses the cooperative communication necessary for shared parenting to function. The Alaska Supreme Court has recognized that a parent's willingness to facilitate the child's relationship with the other parent is an important indicator of that parent's fitness to serve in a primary custody role. Pingree v. Cossette, 424 P.3d 371 (Alaska 2018). Where one parent consistently acts to undermine the other parent's ability to care for and communicate with the child, that conduct weighs against an award of primary custody to the undermining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is willing to support a formal parenting time schedule that provides Wesley with regular, meaningful time with Lily. A structured parenting plan that clearly delineates each parent's time and requires advance notice and mutual agreement for deviations will protect Lily's well-being while preserving her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Love and Affection Between Lily and Each Parent Should Be Channeled Through a Structured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25.24.150(c)(4) directs the Court to consider the love and affection existing between the child and each parent. Petitioner does not dispute that Lily has a loving relationship with both her mother and her father. However, the existence of love and affection between Lily and Wesley does not justify Wesley's unilateral, unannounced takings of the child. To the contrary, a formal parenting plan will best protect and nurture those loving relationships by giving each parent defined, reliable time with Lily without the disruption and conflict that the current informal arrangement has produced. Structured parenting time for Wesley, with clear provisions for regular contact, will allow Lily to enjoy a stable and loving relationship with her father within a framework that also protects her need for continuity in her primary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An Award of Shared Legal Custody with Primary Physical Custody to Petitioner Serves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25.20.060(c) provides that the Court may award shared custody to both parents if shared custody is determined by the court to be in the best interests of the child, and directs that an award of shared custody shall assure that the child has frequent and continuing contact with each parent to the maximum extent possible. Petitioner proposes that the Court award joint legal custody, so that both parents participate in major decisions affecting Lily's health, education, and welfare, while awarding primary physical custody to Renee. This arrangement reflects the caregiving reality that has existed since the parties separated and provides the continuity and stability the statutory framework directs courts to protect.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affirmed custody arrangements that preserve the primary caregiver's role while affording meaningful parenting time to the non-primary parent, recognizing that frequent and continuing contact with both parents serves children's best interests. Jayda Roman v. Cleveland Karren, 461 P.3d 1252 (Alaska 2020); James R. v. Kylie R., 320 P.3d 273 (Alaska 2014). A formal parenting plan that awards Wesley regular, scheduled parenting time, including defined weeknight and weekend visits and notice requirements for any modifications, will protect Lily's relationship with her father while preserving the stability she has enjoyed in Renee's primary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ENTER A BINDING PARENTING PLAN THAT PROHIBITS UNANNOUNCED, EXTENDED TAKINGS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has broad authority under AS 25.24.992 to make such orders for the custody and visitation of a minor child as may seem necessary or proper. Wesley's recent pattern of taking Lily for extended, unannounced periods without Renee's consent constitutes precisely the kind of conduct that necessitates a binding court order. Without a formal order, there is no enforceable mechanism to prevent Wesley from continuing to remove Lily without notice, and Renee has no legal recourse short of returning to court on an emergency basis each time it occurs.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binding parenting plan should include, at minimum: a defined primary residence with Renee; a regular schedule of parenting time for Wesley with advance notice requirements; a prohibition on removing Lily from her primary residence for extended periods without written consent of both parents or court authorization; and provisions for communication and cooperation between the parents regarding Lily's health, education, and welfare. Such a plan is consistent with the Court's authority under AS 25.24.150 and with the Alaska Supreme Court's recognition that clarity and enforceability in parenting arrangements serves children's best interests. Weathers v. Weathers, 425 P.3d 131 (Alaska 2018) (underscoring the importance of formal, enforceable custody arrangements to prevent unilateral manipulation of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CHILD SUPPORT SHOULD BE CALCULATED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entry of a primary physical custody order, the Court should also address child support in accordance with Civil Rule 90.3(a), which provides that a child support award in a case in which one parent is awarded primary physical custody will be calculated as an amount equal to the adjusted annual income of the non-custodial parent multiplied by a percentage specified in the rule. For one child, that percentage is 20% of the non-custodial parent's adjusted annual income. Civil Rule 90.3(a)(2)(A). The adjusted annual income is calculated by subtracting from the non-custodial parent's total income from all sources the mandatory deductions enumerated in Civil Rule 90.3(a)(1)(A) through (G). A formal child support order entered at the time of the custody determination will provide financial predictability for Lily's care and avoid future disputes over support obligations.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determines that a shared physical custody arrangement is more appropriate, child support would be calculated under Civil Rule 90.3(b), which applies the shared custody formula to ensure that both parents contribute to Lily's support proportionate to their incomes and the percentage of time each parent has physical custody.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Renee Okafor respectfully requests that this Court enter an order: (1) awarding joint legal custody of Lily Okafor to both parents; (2) awarding primary physical custody of Lily Okafor to Petitioner Renee Okafor; (3) establishing a defined schedule of parenting time for Respondent Wesley Okafor, with clear notice requirements and prohibitions on unannounced, extended removals of the child; and (4) calculating and entering a child support obligation in accordance with Civil Rule 90.3(a) based on Respondent's adjusted annual income. Such relief is warranted by the evidence, the governing statutory framework, and the overriding principle that all custody determinations must serve the best interests of Lily Okafor.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2026-08-16T19:50:27.408Z</dcterms:created>
  <dcterms:modified xsi:type="dcterms:W3CDTF">2026-08-16T19:50:27.408Z</dcterms:modified>
</cp:coreProperties>
</file>

<file path=docProps/custom.xml><?xml version="1.0" encoding="utf-8"?>
<Properties xmlns="http://schemas.openxmlformats.org/officeDocument/2006/custom-properties" xmlns:vt="http://schemas.openxmlformats.org/officeDocument/2006/docPropsVTypes"/>
</file>