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Okafor respectfully petitions this Court to establish a formal custody order governing the care, custody, and parenting time of the parties' minor daughter, Maya Okafor, age two. Priya and Respondent Sarah Okafor separated in early 2023 following approximately three years together. Since the separation, Maya has resided primarily with Sarah in Anchorage, while Priya has exercised informal weekend parenting time under a loose verbal agreement that carries no legal force. No court has ever issued a custody order for Maya, and therefore this proceeding constitutes an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urgency of this petition is driven by Sarah's stated intention to relocate with Maya to Fairbanks for a new employment opportunity. Without a formal parenting plan in place, Priya has no legal mechanism to protect her relationship with her daughter, to object to the proposed relocation, or to enforce any parenting time whatsoever. The informal arrangement that has governed the parties' co-parenting since separation is wholly inadequate to address the significant change that a move from Anchorage to Fairbanks would impose on Priya and Maya's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respectfully requests that this Court exercise jurisdiction over this initial custody determination, evaluate the best interests of the child under the applicable statutory factors, and enter a formal parenting plan that preserves Maya's meaningful relationship with both of her parents regardless of where either parent ultimately resides.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Okafor and Sarah Okafor were in a romantic relationship for approximately three years before separating in early 2023. During their relationship, the parties resided together in Anchorage, Alaska. Their daughter, Maya Okafor, was born during the relationship and is presently two years of age. Maya has lived her entire life in Anchorage, Alaska, and has therefore been a continuous resident of this state from birth through the date of this filing.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the parties' separation, no custody proceeding was initiated and no court order was entered governing Maya's care. The parties reached a loose verbal agreement under which Maya would reside primarily with Sarah while Priya would spend time with Maya on weekends. This arrangement has been informal and unenforceable, resting entirely on the goodwill and cooperation of both parties. There is no written parenting plan, no specification of holiday or vacation parenting time, and no mechanism for resolving disputes.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separation stemmed in part from increasing conflict over finances and differing parenting philosophies. These areas of disagreement have not been resolved and continue to present challenges to co-parenting communication.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has consistently exercised her weekend parenting time throughout the period since separation and has remained an active and engaged parent in Maya's life. Priya's bond with Maya is strong, and Maya has benefited from ongoing contact with both of her parents during this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has recently indicated her intention to relocate with Maya from Anchorage to Fairbanks in connection with a new job opportunity. Sarah has not sought Priya's consent to this move, nor has any court authorized such a relocation. Because no custody order exists, Priya currently has no legal recourse to prevent the move or to demand that her parenting time be preserved and formalized before any relocation occurs. The proposed move would significantly disrupt the parenting arrangement that has been in place since separation and would substantially diminish the frequency of Priya's in-person contact with Maya if no formal plan is established.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parties are residents of Alaska. Maya has lived her entire life in Alaska. All relevant evidence concerning Maya's care, protection, and personal relationships is located in this state. Alaska is the appropriate forum to adjudicate this initial custody determination.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jurisdiction to make an initial child custody determination when this state is the home state of the child on the date of the commencement of the proceeding. AS 25.30.300(a)(1). Alaska is Maya's home state, as she has lived in Anchorage from birth through the present date, well in excess of the six consecutive months required to establish home state status. AS 25.30.300(a)(1). This Court therefore has proper jurisdiction to enter an initial custody determination for Maya.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Standard for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dispute over child custody exists between parents, either parent may petition the superior court for resolution under AS 25.20.060. The court is required to award custody on the basis of the best interests of the child. AS 25.20.060(a). In determining the best interests of the child, the court must consider all relevant factors, including those factors enumerated in AS 25.24.150(c). AS 25.20.060(a).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set forth in AS 25.24.150(c)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and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by either parent; and other factors the court considers pertinent.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award shared custody to both parents if shared custody is determined to be in the best interests of the child. AS 25.20.060(c). An award of shared custody must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courts evaluating initial custody determinations must carefully and thoroughly analyze each applicable best interests factor on the record, and that failure to address the statutory factors is reversible error. Pingree v. Cossette, 424 P.3d 371 (Alaska 2018). Courts must consider the totality of circumstances bearing on a child's welfare when fashioning a custody arrangement. Jaymot v. Skillings-Donat, 216 P.3d 534 (Alaska 2009).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custody arrangement is established, child support must be calculated in accordance with Civil Rule 90.3. Under Civil Rule 959(a), where one parent is awarded primary physical custody, child support is calculated as an amount equal to the adjusted annual income of the non-custodial parent multiplied by the applicable percentage set forth in Civil Rule 90.3(a)(2). Where both parents are awarded shared physical custody, meaning the children reside with each parent for between thirty and seventy percent of the year, support is calculated under the shared custody formula set forth in Civil Rule 948(b). Civil Rule 919(f)(1) defines shared physical custody as a period specified in the custody order of at least 30, but no more than 70, percent of the year.</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Jurisdiction to Enter an Initial Custody Order for Maya.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subject matter jurisdiction to adjudicate an initial custody determination for Maya because Alaska is Maya's home state within the meaning of AS 25.30.300. Maya was born in Anchorage and has resided in Anchorage continuously from birth through the present. AS 25.30.300(a)(1) grants jurisdiction to a court of this state to make an initial child custody determination when this state is the home state of the child on the date of the commencement of the proceeding. Because Maya has lived in Alaska her entire life, this state is unquestionably her home state. No competing jurisdiction has issued a custody order for Maya, and no proceeding is pending in any other state. All relevant parties reside in Alaska, and all material evidence concerning Maya's care, protection, training, and personal relationships is available in this state. This Court therefore has full and proper jurisdiction to proceed.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because no prior custody determination exists for Maya in any jurisdiction, this is purely an initial custody proceeding and not a modification matter. There is no existing order to modify, no court that previously exercised jurisdiction, and no restriction on this Court's authority to enter whatever custody arrangement serves Maya's best interests. AS 25.30.310 governs the exclusive continuing jurisdiction of a court that has already made a custody determination; that statute has no application here, as no prior determination has been made. This Court proceeds on a clean slate and is authorized to fashion a parenting plan that serves Maya's welfare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Priya Has Standing to Petition for an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25.20.060(a) provides that if there is a dispute over child custody, either parent may petition the superior court for resolution of the matter. Priya is Maya's parent and has exercised regular parenting time since the parties' separation. Priya has a direct, substantial, and legally cognizable interest in obtaining a formal custody order for her daughter. Sarah's stated intention to relocate Maya to Fairbanks without Priya's consent has created a concrete and immediate dispute over custody and parenting time. That dispute falls squarely within the subject matter covered by AS 25.20.060, and Priya has full standing to invoke this Court's authority to resolve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Neither parent is entitled to a preference in the awarding of custody. AS 25.20.060(b). Accordingly, the fact that Maya has been living primarily with Sarah since separation does not automatically favor Sarah in this proceeding. The Court must assess both parents evenhandedly in light of the statutory best interests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Best Interests of Maya Require the Entry of a Formal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Statutory Best Interests Factors Support a Meaningful Role for Priya in Maya's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determine custody in accordance with the best interests of the child, considering the factors enumerated in AS 25.24.150(c). A thorough analysis of those factors supports entry of a formal parenting plan that preserves and protects Priya's relationship with Maya.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to Maya's physical, emotional, mental, and social needs, AS 25.24.150(c)(1): Maya is two years old, a critical period of development during which attachment relationships with both caregiving parents are essential to healthy social and emotional growth. Formalizing the custody arrangement will provide stability, predictability, and security for Maya by ensuring that her relationships with both Priya and Sarah are protected and consistently maintained.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to the capability and desire of each parent to meet Maya's needs, AS 25.24.150(c)(2): Priya has consistently shown up for Maya every weekend since the parties' separation, demonstrating both the capability and the strong desire to meet her daughter's needs. The fact that Priya is now bringing this petition reflects her commitment to ensuring that Maya's welfare is protected through a binding legal framework rather than a fragile verbal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to the love and affection between the child and each parent, AS 25.24.150(c)(4): Maya has bonded with both of her parents throughout her young life. Priya's regular weekend contact has maintained and deepened that bond. Any custody arrangement that severs or severely curtails that bond would be contrary to Maya's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to the length of time Maya has lived in a stable, satisfactory environment and the desirability of maintaining continuity, AS 25.24.150(c)(5): Maya has lived her entire life in Anchorage. Her social connections, medical providers, and sense of place are rooted in Anchorage. The Alaska Supreme Court has recognized the importance of maintaining continuity and stability in a young child's environment. Saffir v. Wheeler, 436 P.3d 1009 (Alaska 2019). A relocation to Fairbanks would disrupt that continuity and remove Maya from the community she has known since birth. A formal custody order can address this concern by establishing clear provisions governing any proposed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to the willingness and ability of each parent to facilitate a continuing relationship between the child and the other parent, AS 25.24.150(c)(6): Sarah's unilateral statement of intent to relocate to Fairbanks without consulting Priya or seeking a court-approved modification raises legitimate concern about her willingness to prioritize Maya's relationship with Priya. There is no evidence before this Court that Priya has done anything to interfere with Sarah's relationship with Maya. This factor weighs in Priya's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to other pertinent factors, AS 25.24.150(c)(9): The absence of any formal custody order is itself a circumstance that has left Maya's legal security and Priya's parental rights entirely unprotected. The entry of a formal order will provide both parents with clear legal obligations and both the child and each parent with enforceable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Court Should Consider a Shared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25.20.060(c) expressly authorizes the court to award shared custody when that arrangement is in the best interests of the child, and directs that such an award must assure frequent and continuing contact with each parent to the maximum extent possible. Given that the parties have maintained an informal parenting arrangement since separation in which Priya exercises regular weekend parenting time, a formal shared or primary-with-substantial-visitation arrangement would reflect and build upon the status quo while providing the legal certainty and enforceability that the current situation lacks.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carefully assess each best interests factor and may properly structure custody to reflect the realities of the parties' post-separation parenting practices. Pingree v. Cossette, 424 P.3d 371 (Alaska 2018). In Pingree v. Cossette, the court noted that a week-on, week-off schedule can serve the best interests of a child when both parents are capable and engaged caregivers. Here, a similar shared arrangement may be achievable if both parties reside in the same city. If Sarah proceeds with relocation to Fairbanks, the Court should establish an alternative schedule that preserves extended blocks of parenting time for Priya, including extended summer parenting time and holidays, consistent with the framework the Alaska Supreme Court approved in Jaymot v. Skillings-Donat, 216 P.3d 534 (Alaska 2009), where the court awarded the non-primary parent substantial summer visitation to compensate for geographic distance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recognized the authority of a trial court to enter alternative custody arrangements dependent on whether a proposed relocation actually occurs, so that the parenting plan reflects the actual circumstances of the parties at the time it takes effect. Rego v. Rego, 259 P.3d 447 (Alaska 2011); Saffir v. Wheeler, 436 P.3d 1009 (Alaska 2019). Priya requests that this Court enter exactly such a dual alternative parenting plan: one schedule applicable if both parties remain in the Anchorage area, and a second schedule applicable in the event that Sarah relocates to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Court Must Address Child Support Concurrent with the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determines the custody arrangement, it must calculate child support in accordance with Civil Rule 90.3. If Sarah is awarded primary physical custody within the meaning of Civil Rule 90.3(f)(2), meaning Maya resides with Priya for less than thirty percent of the year, child support would be calculated under Civil Rule 90.3(a) as an amount equal to Priya's adjusted annual income multiplied by the applicable percentage. If the Court awards shared physical custody within the meaning of Civil Rule 90.3(f)(1), meaning Maya resides with each parent for between thirty and seventy percent of the year, support would be calculated under the shared custody formula set forth in Civil Rule 90.3(b). Priya requests that the Court enter a child support order consistent with whichever custody structure is determined to serve Maya's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Sarah's Proposed Relocation Cannot Proceed Without Court Authorization Under a Formal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custody order exists, Sarah's ability to relocate with Maya is currently unrestricted as a formal legal matter. However, the entry of a custody order by this Court will immediately change that status. Once a custody order is entered, any subsequent proposed relocation by the primary custodian that would materially affect the other parent's parenting time is subject to court review under AS 25.20.110. Any finding that a change in circumstances requires modification of the custody arrangement must be accompanied by a best interests analysis. AS 25.20.110(a). The entry of a formal order now will therefore create the legal framework necessary to protect Priya's rights going forward, including giving Priya the standing and legal mechanism to contest any future relocation that would be contrary to Maya's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lack of a formal custody order has left Priya without any legal protection for her relationship with her daughter. That gap must be closed promptly. The entry of a formal parenting plan is not only appropriate, it is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Civil Rule 86(l) Governs the Procedural Mechanism for this Custody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86(l) provides that an order to show cause, rather than a writ of habeas corpus, shall be issued initially if the action is brought by a parent to obtain custody of a child under the age of sixteen from another parent. Maya is two years old. Priya is her parent. This proceeding is therefore properly initiated by order to show cause, and Priya requests that the Court issue such an order directing Sarah to appear and show cause why a formal custody order should not be entered consistent with the relief requested in this petition.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Priya Okafor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Exercise jurisdiction over this initial custody determination pursuant to AS 25.30.300(a)(1), as Alaska is Maya's home 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Issue an order to show cause pursuant to Civil Rule 86(l) directing Sarah Okafor to appear and respond to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Conduct a hearing on the merits of the initial custody determination and evaluate the best interests of Maya under the factors set forth in AS 25.24.150(c) and AS 25.20.060;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formal parenting plan that provides Priya with meaningful, enforceable parenting time, including alternative provisions addressing both the scenario in which the parties remain in Anchorage and the scenario in which Sarah relocates to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Calculate and enter a child support order in accordance with Civil Rule 90.3, consistent with the custody arrangement the Court determines is in Maya's best interests;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further relief as this Court deems just and proper in the best interests of Maya Okafor.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2026-08-16T21:14:08.387Z</dcterms:created>
  <dcterms:modified xsi:type="dcterms:W3CDTF">2026-08-16T21:14:08.387Z</dcterms:modified>
</cp:coreProperties>
</file>

<file path=docProps/custom.xml><?xml version="1.0" encoding="utf-8"?>
<Properties xmlns="http://schemas.openxmlformats.org/officeDocument/2006/custom-properties" xmlns:vt="http://schemas.openxmlformats.org/officeDocument/2006/docPropsVTypes"/>
</file>