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Okafor respectfully petitions this Court to establish a formal order governing legal custody, physical custody, visitation, and child support for his daughter, Amara Okafor, age two. No prior custody proceeding has ever been initiated regarding Amara. Since her birth, the parties have operated under an entirely informal arrangement in which Amara resides primarily with her mother, Danielle Okafor, while Marcus provides visitation on an unscheduled, ad hoc basis. That arrangement has deteriorated to the point that Amara has no predictable schedule, no legally enforceable protections, and no certainty about when she will spend time with either parent. Marcus has recently secured stable, full-time employment with the Municipality of Anchorage and has obtained a larger residence suitable for Amara. He now asks this Court to exercise its authority under AS 25.20.060 to enter a comprehensive custody and support order that serves Amara's best interests and provides her with the stability and continuity she deserves.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Okafor and Danielle Okafor maintained a romantic relationship for approximately three years. Their daughter, Amara Okafor, was born during that relationship and is now approximately two years old. The parties separated in early 2023 following a prolonged period of conflict. Since separation, the parties have not executed any written parenting plan, custody agreement, or support arrangement. No court has ever entered any order addressing Amara's custody, visitation, or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separation, Amara has resided primarily with Danielle at her apartment in Anchorage. Marcus has exercised informal, unscheduled visitation on a week-to-week basis, the terms of which have been subject to the unilateral preferences of each parent at any given time. As the relationship between the parties has grown more contentious, the informal arrangement has become increasingly unreliable. Marcus has been denied consistent access to Amara, and Amara has been deprived of the routine and predictability that are essential to the healthy development of a young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has recently accepted a stable, full-time position with the Municipality of Anchorage, providing him with consistent income and a reliable schedule. He has also secured a larger residence that is appropriate for Amara's care. Marcus is prepared to contribute to Amara's financial support in accordance with Alaska's child support guidelines, and he seeks a formal order that will give Amara the security of knowing where she will be, and with whom, on any given day. This petition represents the first formal request to any court for an order addressing any aspect of Amara's custody, visitation, or support.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resolve disputes over the custody of minor children according to the best interests of the child. Under AS 25.20.060, either parent may petition the superior court for resolution of a custody dispute, and the court shall award custody on the basis of the best interests of the child. In determining best interests, the court must consider all relevant factors, including those enumerated in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the court shall consider under AS 25.24.150(c)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child's well-being; and any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award of custody may subsequently be modified if the court determines that a change in circumstances requires the modification and the modification is in the best interests of the child. AS 25.20.110(a). Because this matter presents an initial custody determination rather than a modification, no threshold showing of changed circumstances is required. The Court is asked simply to enter a first order serving Amara's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In a case in which one parent is awarded primary physical custody, the support award is calculated by multiplying the non-custodial parent's adjusted annual income by the applicable percentage under Civil Rule 90.3(a)(2). If the parties are awarded shared physical custody, the calculation follows Civil Rule 90.3(b). Shared physical custody exists where the child resides with each parent for a period specified in the custody order of at least 30 but no more than 70 percent of the year. Civil Rule 90.3(f)(1). Primary physical custody exists where the child resides with the other parent for less than 30 percent of the year as specified in the custody order. Civil Rule 90.3(f)(2).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deviate from the guidelines under Civil Rule 90.3(b) and related provisions in unusual circumstances. In cases where a parent is voluntarily and unreasonably unemployed or underemployed, the court may calculate support based on that parent's potential income. Civil Rule 90.3(a)(4).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ENTER AN INITIAL CUSTODY ORDER BECAUSE AMARA'S BEST INTERESTS REQUIRE STABILITY, PREDICTABILITY, AND LEGALLY ENFORCEABLE PROTECTIONS.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case presents a classic circumstance calling for court intervention. As the Alaska Supreme Court has recognized, children benefit from stable and consistent custody arrangements, and an informal arrangement that depends on the daily cooperation of estranged parties provides no such benefit. See Mendel-Gleason v. Harris, 261 P.3d 397 (Alaska 2011). Here, the parties have never formalized their parenting arrangement, and as their relationship has grown more contentious, the absence of a formal order has left Amara without any predictable routine. A court order is necessary to protect her interests and to define each parent's rights and responsibilities in a manner that is enforceable.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the court shall award custody on the basis of the best interests of the child and shall consider all relevant factors under AS 25.24.150(c). Neither parent is entitled to preference in the awarding of custody. AS 25.20.060(b). The court may award shared custody to both parents if shared custody is determined to be in the best interests of the child, and any such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submits that the following factors under AS 25.24.150(c) weigh in favor of an order providing him with meaningful custodial time and, at minimum,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Amara's Physical, Emotional, and Social Needs Favor a Predictable Custody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Amara is two years old. Children of her age have a well-recognized need for routine, predictability, and consistent access to both parents. The current informal arrangement provides none of those things. Marcus seeks a formal order that will establish a consistent schedule, ensure Amara knows where she will be each day, and allow both parents to plan their work and personal lives around Amara's needs rather than ongoing negotiation and conflict.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Marcus Has the Capability and Desire to Meet Amara's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has recently secured stable, full-time employment with the Municipality of Anchorage. He has also obtained a larger residence suitable for Amara's care. He has consistently sought time with Amara and has provided informal support throughout her life. His new employment and housing circumstances put him in a strong position to provide Amara with a safe, nurturing, and stable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Love and Affection Between Marcus and Amara Strongly Favor His Continued Involvement.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Despite the informality of the existing arrangement, Marcus has maintained a loving and engaged relationship with Amara throughout her life. The bond between father and child is a factor the court must consider under AS 25.24.150(c)(4), and Marcus respectfully asserts that that bond is strong and that Amara's best interests are served by preserving and expanding it through a formal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Maintaining Continuity of Amara's Relationships Supports Joint Legal Custody and Regular Parenting Time for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must consider the length of time the child has lived in a stable, satisfactory environment and the desirability of maintaining continuity. Amara has lived primarily with Danielle, and Marcus does not seek to disrupt that continuity unnecessarily. He does, however, seek to formalize and protect his own relationship with Amara, which has been part of her life since birth. In D.D. v. L.A.H., 27 P.3d 757 (Alaska 2001), the Alaska Supreme Court recognized that custody arrangements must be capable of adapting to the evolving circumstances of both the child and the parents, and that the child's need for stability must be balanced against the practical realities of the parties' lives. Here, formalizing a custody schedule protects continuity for Amara while also giving Marcus the enforceable parenting time to which he is entitled.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Each Parent's Willingness to Facilitate the Child's Relationship with the Other Parent Is a Critical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must consider the willingness and ability of each parent to facilitate and encourage a close and continuing relationship between the other parent and the child. The existing informal arrangement has been characterized by inconsistency and conflict, and the informal nature of the arrangement has allowed each party to unilaterally deny the other parent access to Amara without any legal consequence. A formal order will require both parties to comply with a schedule and will provide each parent with a legally enforceable mechanism to seek relief if the other parent is uncooperative. Marcus is committed to facilitating Amara's relationship with her mother and respectfully asks the Court to enter an order that imposes the same obligation on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AWARD JOINT LEGAL CUSTODY AND ESTABLISH A DETAILED PARENTING SCHEDULE THAT MAXIMIZES AMARA'S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requests joint legal custody so that both parents share responsibility for major decisions affecting Amara's upbringing, including decisions about her education, healthcare, and religious development. Joint legal custody ensures that both parents remain actively engaged in Amara's life and prevents either parent from unilaterally excluding the other from significant parenting decisions. The Alaska Supreme Court has noted that, in most cases, children benefit from the participation of both parents in major decisions affecting their lives. See Rosemarie P. v. Kelly B., 504 P.3d 260 (Alaska 2021).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to physical custody, Marcus recognizes that Amara has resided primarily with Danielle and that disrupting that arrangement entirely could be unsettling for a two-year-old child. He therefore requests either: (1) shared physical custody on an equal or near-equal basis, ensuring that Amara spends at least 30 percent of her time with each parent as contemplated by Civil Rule 90.3(f)(1); or, in the alternative, (2) primary physical custody with Danielle and a formal, regular, and generous parenting schedule for Marcus. Either arrangement is preferable to the current informal arrangement, which provides Amara with no certainty and provides Marcus with no enforceable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Siekawitch v. Siekawitch, 956 P.2d 447 (Alaska 1998), the Alaska Supreme Court affirmed the importance of specific, defined visitation schedules over informal agreements that leave the parties to negotiate parenting time on an ongoing basis. Marcus respectfully submits that this case presents precisely the situation the Siekawitch court recognized: an informal arrangement that has broken down and must be replaced with a specific, court-ordered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Amara is currently only two years old, and any parenting plan must be structured in a developmentally appropriate manner. A well-designed order can nonetheless give Marcus substantial and regular parenting time while maintaining appropriate continuity for Amara with her primary caregiver. As Amara grows, the schedule can be adjusted to reflect her evolving needs and the parties'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ESTABLISH CHILD SUPPORT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respectfully asks the Court to establish a child support obligation in accordance with Civil Rule 90.3. The appropriate calculation will depend on the type of custody arrangement the Court awards.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awards primary physical custody to Danielle, child support will be calculated under Civil Rule 90.3(a) by multiplying Marcus's adjusted annual income by the applicable percentage. For one child, that percentage is 20 percent of the non-custodial parent's adjusted annual income. Civil Rule 90.3(a)(2)(A). Adjusted annual income is calculated as the parent's total income from all sources, minus mandatory deductions such as federal, state, and local income taxes; Social Security tax; Medicare tax; mandatory union dues; and mandatory contributions to a retirement or pension plan, among other items.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awards shared physical custody, support will be calculated under Civil Rule 90.3(b)(1) by determining what each parent would pay to the other under the primary custody formula, multiplying that amount by the percentage of time the other parent will have physical custody, and then calculating the net obligation. Civil Rule 90.3(b)(1)(A)-(C).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has recently begun stable, full-time employment with the Municipality of Anchorage, and he is prepared to provide verified income documentation to allow the Court to calculate an accurate support obligation. He is committed to meeting his financial obligations to Amara and asks only that those obligations be set through a formal court order that reflects his actual income and the actual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if the evidence reveals that either party is voluntarily and unreasonably unemployed or underemployed, the Court may calculate support based on that parent's potential income. Civil Rule 90.3(a)(4). Marcus reserves the right to present evidence on this issue if appropriate based on information disclosed during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APPOINT A GUARDIAN AD LITEM ONLY IF THE COURT FINDS THAT SEPARATE REPRESENTATION OF AMARA'S BEST INTERESTS IS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acknowledges that in complex or unusually contentious custody matters, the court may appoint a guardian ad litem for the child. Under Civil Rule 90.7(a), however, courts should not routinely appoint guardians ad litem in custody, support, and visitation proceedings. A guardian ad litem may be appointed only when the court finds that separate representation of the child's best interests is necessary, such as when the guardian ad litem may be expected to present evidence not otherwise likely to be available or presented, or the proceeding is unusually complex. Civil Rule 90.7(a).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the issues are relatively straightforward: this is an initial custody determination involving one child and two parents. Marcus does not anticipate that the proceeding will be unusually complex, and he believes the parties are capable of presenting the relevant evidence through their own testimony and documentation. He therefore does not request the appointment of a guardian ad litem at this time, but he leaves that determination to the Court's sound discretion.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ENTER A COMPREHENSIVE ORDER THAT ADDRESSES ALL ASPECTS OF CUSTODY, VISITATION, AND SUPPORT TO PROTECT AMARA'S LONG-TERM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observed in Dawn Maynor, f/k/a Dawn Golden v. Timothy B. Golden, 563 P.3d 1131 (Alaska 2025), custody orders must be structured to anticipate the evolving circumstances of children and parents over time. A well-crafted initial order reduces the likelihood of future litigation by clearly defining the rights and obligations of both parties and providing a baseline from which the court can evaluate any future motion to modify. Marcus requests that the Court's order address, at a minimum: legal custody, physical custody, a specific parenting schedule including provisions for holidays and school breaks, child support calculated in accordance with Civil Rule 90.3, a mechanism for notification of change of address or contact information, and provisions for decision-making in emergencies.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Such an order will provide Amara with the stability and predictability that all children require, and it will give both parents clear guidance about their respective rights and obligations. In Dara v. Gish, 404 P.3d 154 (Alaska 2017), the Alaska Supreme Court highlighted the difficulties that arise when parties lack a clear and enforceable custody framework. This case presents the Court with the opportunity to establish such a framework from the outset, before further conflict erodes the co-parenting relationship and causes additional harm to Amara.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Okafor respectfully requests that this Court enter an order pursuant to AS 25.20.060 and AS 25.24.150: (1) awarding joint legal custody to both parents; (2) awarding shared physical custody or, in the alternative, primary physical custody to Danielle with a formal, regular, and generous parenting schedule for Marcus; (3) establishing child support in accordance with Civil Rule 90.3(a) or Civil Rule 90.3(b), as applicable based on the custody arrangement ordered; and (4) addressing all related issues necessary to protect Amara's health, safety, and well-being. Amara deserves a stable, predictable, and legally enforceable custody arrangement. Marcus asks this Court to provide her with one.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2026-08-16T21:23:09.281Z</dcterms:created>
  <dcterms:modified xsi:type="dcterms:W3CDTF">2026-08-16T21:23:09.281Z</dcterms:modified>
</cp:coreProperties>
</file>

<file path=docProps/custom.xml><?xml version="1.0" encoding="utf-8"?>
<Properties xmlns="http://schemas.openxmlformats.org/officeDocument/2006/custom-properties" xmlns:vt="http://schemas.openxmlformats.org/officeDocument/2006/docPropsVTypes"/>
</file>