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(doc-0085)</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Priya Bergstrom respectfully requests that this Court modify the existing child custody order entered in 2021, which currently awards Danielle Bergstrom primary physical custody of the parties' two minor children, with Priya receiving parenting time every other weekend and two evenings per week. Since the entry of that order, two substantial changes in circumstances have occurred that, taken together, compel a modification in the best interests of the children. First, Priya has relocated from Juneau to Anchorage to accept a significant career advancement, altering the geographic and logistical landscape of the existing parenting arrangement. Second, and most critically, Danielle has been diagnosed with a serious chronic illness that has required multiple hospitalizations over the past eight months, substantially limiting her capacity to meet the children's daily physical, emotional, and developmental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 and AS 25.24.150, the Court has both the authority and the obligation to modify a custody order when changed circumstances require it and when modification serves the best interests of the children. The evidence presented in this matter satisfies both prongs of that standard. Priya respectfully asks the Court to award her primary physical custody of the children and to establish a parenting time schedule for Danielle that is reasonable, flexible, and calibrated to her current medical condition and the children's school schedule.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Bergstrom and Danielle Bergstrom were divorced in 2021. At that time, the Superior Court entered a custody order granting Danielle primary physical custody of the parties' two minor children, with Priya receiving parenting time every other weekend and two evenings per week. This arrangement reflected the circumstances of the parties as they existed at the time of the 2021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entry of that order, the circumstances of both parties and the children have changed substantially. Priya has relocated from Juneau to Anchorage to accept a significant career advancement. This relocation was undertaken in good faith for professional reasons and has altered the geographic relationship between the parties. Priya's new position provides her with increased financial stability and resources that directly benefit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More significantly, Danielle has been diagnosed with a serious chronic illness that has required multiple hospitalizations over the past eight months. These hospitalizations have been frequent and have substantially limited Danielle's physical capacity to meet the children's daily needs, including supervision, transportation to school and extracurricular activities, preparation of meals, assistance with schoolwork, and attendance at medical and other appointments. The children have, as a result of Danielle's repeated hospitalizations, experienced instability and disruption in their daily lives and routines.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is ready, willing, and able to provide the children with a stable, nurturing home environment in Anchorage. She seeks an arrangement that awards her primary physical custody while preserving Danielle's parenting relationship through a schedule that accounts for Danielle's medical condition and accommodates the children's school calendar.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provides a two-part framework governing modifications of child custody orders. Under AS 25.20.110(a), a custody order may be modified only if the Court determines that a change in circumstances requires the modification and that the modification is in the best interests of the child. Both elements must be satisfied. If a parent opposes the modification and the modification is granted, the Court must enter on the record its reason for the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interpreted this framework to require a meaningful showing of changed circumstances before a court proceeds to the best interests analysis. In Siekawitch v. Siekawitch, 956 P.2d 447 (Alaska 1998), the court recognized that changed circumstances warranting modification can arise from the inability of the existing order to function as intended or from material shifts in the situation of either parent or the children. Similarly, in Alisa Burns v. John Everett Burns, 466 P.3d 352 (Alaska 2020), the Alaska Supreme Court affirmed that a court properly focuses its best interests analysis on the factors most directly relevant to the children's welfare in light of the specific circumstances that triggered the modification proceeding.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determining the best interests of the children, the Court must consider the factors enumerated in AS 25.24.150(c), including the physical, emotional, mental, religious, and social needs of the child; the capability and desire of each parent to meet those needs; the length of time the child has lived in a stable, satisfactory environment and the desirability of maintaining continuity; and the willingness and ability of each parent to facilitate and encourage a close and continuing relationship between the other parent and the child, among other factors.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evaluating whether to award shared custody, the Court may also consider the factors set forth in AS 25.20.090, including the stability of the home environment likely to be offered by each parent, the needs of the child, and the optimal time for the child to spend with each parent considering the actual time spent with each parent, the proximity of each parent to the school in which the child is enrolled, and the feasibility of travel between the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25.20.070 reflects the legislative policy that, absent detriment to the child's welfare, a child should have equal access to both parents to the greatest degree practical during any custody proceeding.</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SUBSTANTIAL CHANGE IN CIRCUMSTANCES EXISTS WARRANTING MODIFICATION OF THE 2021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requirement under AS 25.20.110(a) is satisfied by two independent and significant changes in circumstances that have occurred since the entry of the 2021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Danielle's diagnosis with a serious chronic illness and her resulting multiple hospitalizations over the past eight months constitute a change in circumstances of the highest order. The existing custody order was premised on Danielle's ability to serve as the children's primary caregiver on a day-to-day basis. That premise has been materially undermined. Danielle's medical condition has substantially limited her physical ability to supervise the children, transport them to school and activities, assist with their homework, and attend to their daily needs. This is not a temporary inconvenience but a chronic condition that has already caused repeated hospitalizations and ongoing disruption to the children's lives.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in Siekawitch v. Siekawitch, 956 P.2d 447 (Alaska 1998), recognized that a material change from the fundamental premise upon which an original custody agreement was based warrants re-examination of the custody arrangement. Here, the fundamental premise of the 2021 order, namely that Danielle was capable of serving as the children's primary daily caregiver, has been undermined by her serious illness.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Priya's relocation from Juneau to Anchorage for a significant career advancement constitutes an additional change in circumstances. This relocation has altered the geographic relationship between the parties and the logistical framework underlying the 2021 visitation schedule. The every-other-weekend and two-evenings-per-week schedule was designed for parents living in the same city. That schedule is no longer workable in its current form given the distance between Juneau and Anchorage, and a modification of the overall custody arrangement is necessary to establish an order that reflects the parties' current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Together, these two changes are more than sufficient to satisfy the changed circumstances prong under AS 25.20.110(a) and to require the Court to proceed to the best interests analysis.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MODIFICATION TO AWARD PRIYA PRIMARY PHYSICAL CUSTODY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Having established changed circumstances, the Court must determine whether modification is in the children's best interests. AS 25.24.150(c) sets forth the factors the Court must consider. An analysis of those factors demonstrates that awarding Priya primary physical custody, with reasonable parenting time for Danielle, best serves the children's welfare.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Children's Physical, Emotional, Mental, and Social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25.24.150(c)(1) requires the Court to consider the physical, emotional, mental, religious, and social needs of the child. The children's needs are most immediately and consistently met by a parent who is physically present and able to provide daily care, supervision, and attention. Due to Danielle's serious chronic illness and repeated hospitalizations, she has been unable, through no fault of her own, to meet these needs on a consistent basis during the past eight months. Children require stability and reliable caregiving. The pattern of hospitalizations that has characterized Danielle's recent medical history demonstrates that the current arrangement does not adequately address the children's needs for consistent, daily parental care.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by contrast, is available to provide the children with stable, attentive, and consistent parenting on a daily basis. Her career advancement in Anchorage has increased her financial resources and professional stability, enabling her to provide the children with a secure and nurturing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Capability and Desire of Each Parent to Meet the Children's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25.24.150(c)(2) requires the Court to consider the capability and desire of each parent to meet the children's needs. Both parents no doubt love their children and desire to meet their needs. However, capability is a separate inquiry from desire. Danielle's chronic illness and the hospitalizations she has suffered over the past eight months have materially limited her present capability to serve as a full-time primary caregiver. This is not a reflection of her character or commitment as a parent. It is a medical reality that the Court must account for in crafting an order that genuinely serves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is fully capable of meeting the children's daily needs. She has maintained a consistent relationship with her children throughout the pendency of the existing order, she has demonstrated her commitment to their well-being, and she is prepared to assume the role of primary caregiver in a stable Anchorage home.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The Desirability of Maintaining a Stable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25.24.150(c)(5) directs the Court to consider the length of time the child has lived in a stable, satisfactory environment and the desirability of maintaining continuity. The Alaska Supreme Court in Weathers v. Weathers, 425 P.3d 131 (Alaska 2018), emphasized that the stability of the children's environment is a key factor in custody determinations and that courts must give it meaningful weight. Continuity in a stable and satisfactory environment is the goal, but when the environment in which children currently reside has been disrupted repeatedly by the custodial parent's hospitalizations, continuity of that disruption does not serve the children's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consider whether the current arrangement, which has involved the children experiencing repeated disruptions to their daily routines due to Danielle's hospitalizations, actually provides the stable, satisfactory environment that AS 25.24.150(c)(5) seeks to preserve. Where the existing arrangement has become a source of instability rather than continuity, a modification to place the children in a more stable home environment is warranted.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Each Parent's Willingness to Facilitate the Other Parent's Relationship with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requires the Court to consider the willingness and ability of each parent to facilitate and encourage a close and continuing relationship between the other parent and the child. Priya expressly seeks a modification that includes reasonable and flexible parenting time for Danielle, calibrated to Danielle's medical condition and the children's school schedule. This demonstrates Priya's commitment to preserving the children's relationship with Danielle notwithstanding the modification. Priya does not seek to eliminate or substantially curtail Danielle's role as a parent. She seeks only to ensure that the children have a stable primary home while maintaining a meaningful and flexible bond with Danielle.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in Alisa Burns v. John Everett Burns, 466 P.3d 352 (Alaska 2020), underscored the importance of each parent's willingness to support the children's relationship with the other parent, noting that interference with that relationship is a serious concern in any custody analysis. Priya's proposed arrangement demonstrates her good faith commitment to fostering the children's bond with Danielle.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Consideration of Shared Custody Factors and Access to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25.20.090, when the Court considers the allocation of physical custody, it must examine the stability of the home environment likely to be offered by each parent, the needs of the children, and the optimal time for the child to spend with each parent, including the proximity of each parent to the children's school and the feasibility of travel between the parents. Given the distance between Juneau and Anchorage, a traditional shared physical custody arrangement of roughly equal division is logistically impractical on a week-to-week basis. A primary custody arrangement in Anchorage, with Danielle exercising parenting time during school vacations, holidays, and other extended periods consistent with her health, best accommodates these practical realities.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25.20.070 reflects the public policy preference that children have equal access to both parents to the greatest degree practical. Priya's proposed arrangement honors this principle by providing for meaningful, flexible parenting time for Danielle rather than a punitive or restrictive schedule. The proposed order would give Danielle the maximum contact with the children that her medical condition and the geographic distance will allow, consistent with the children's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Child Support Obligations Must Be Recalculated Following Any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Any modification of physical custody will require recalculation of child support consistent with Civil Rule 90.3(a). Under Civil Rule 90.3(f), the classification of each parent's physical custody status, whether primary, shared, or otherwise, determines the formula applicable to the child support calculation. If the Court awards Priya primary physical custody as defined by Civil Rule 90.3(f)(2), Danielle's child support obligation will be calculated based on her adjusted annual income multiplied by the applicable percentage for two children under Civil Rule 90.3(a)(2). The Court should order the parties to submit updated financial documentation sufficient to allow accurate calculation of the new support obligation contemporaneously with any modification of the custody arrangement.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circumstances of these parties and their children have changed substantially since the entry of the 2021 custody order. Danielle's serious chronic illness, evidenced by multiple hospitalizations over the past eight months, has materially limited her capacity to serve as the children's primary daily caregiver. Priya's relocation to Anchorage for a significant career advancement has further altered the factual landscape underlying the existing order. Taken together, these changes constitute the kind of changed circumstances that AS 25.20.110(a) recognizes as sufficient to warrant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best interests factors enumerated in AS 25.24.150(c) weigh in favor of awarding Priya primary physical custody. The children require a stable, consistent primary home with a caregiver who is physically able to meet their daily needs. Priya is that caregiver. At the same time, a generous, flexible parenting time schedule for Danielle will preserve the children's bond with their mother and honor the legislative preference expressed in AS 25.20.070 for maximum access to both parents to the greatest degree practical.</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Priya Bergstrom respectfully requests that this Court enter an order: (1) finding that a substantial change in circumstances exists warranting modification of the 2021 custody order; (2) awarding Priya primary physical custody of the parties' two minor children; (3) granting Danielle reasonable and flexible parenting time consistent with her medical condition and the children's school schedule; and (4) ordering recalculation of child support consistent with Civil Rule 90.3(a) and Civil Rule 90.3(f) based on the modified custody arrangement.</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2026-08-16T21:38:30.852Z</dcterms:created>
  <dcterms:modified xsi:type="dcterms:W3CDTF">2026-08-16T21:38:30.852Z</dcterms:modified>
</cp:coreProperties>
</file>

<file path=docProps/custom.xml><?xml version="1.0" encoding="utf-8"?>
<Properties xmlns="http://schemas.openxmlformats.org/officeDocument/2006/custom-properties" xmlns:vt="http://schemas.openxmlformats.org/officeDocument/2006/docPropsVTypes"/>
</file>