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(doc-0086)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Petrova ("Father") respectfully petitions this Court to modify the existing child custody order entered in 2021, which currently grants Brandon Petrova ("Mother") primary physical custody of the parties' two minor children, ages 8 and 11. Brandon Petrova has accepted a new employment position requiring relocation from Anchorage to Juneau, a distance that would severely curtail David Petrova's ability to exercise regular visitation and would sever the children's established ties to their schools, medical providers, and extracurricular communities in Anchorage. Because Brandon's proposed relocation constitutes a substantial change in circumstances as a matter of Alaska law, and because the children's best interests are better served by remaining in Anchorage with their Father, this Court should grant the requested modification and award David primary physical custody, with Brandon receiving generous visitation during school breaks and summer periods.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Petrova and Brandon Petrova were divorced in 2021 pursuant to an Alaska Superior Court order. That order awarded Brandon primary physical custody of the parties' two minor children, currently ages 8 and 11. David was awarded visitation on alternating weekends and for a period of two consecutive weeks each summer.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the original custody order, David has remained continuously employed and stably housed in Anchorage. He has exercised all of his court-ordered visitation consistently and has maintained a close, loving relationship with both children. The children are enrolled in Anchorage schools where they have established friendships, participate in extracurricular activities, and receive ongoing medical and therapeutic care from providers familiar with their individual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 has recently accepted a new employment position located in Juneau, Alaska. Brandon intends to relocate permanently with the children to Juneau. This relocation would effectively eliminate David's ability to exercise regular every-other-weekend visitation, as the geographic distance between Anchorage and Juneau makes frequent travel both logistically impractical and financially burdensome. In addition, the move would require the children to change schools mid-enrollment, abandon their established extracurricular commitments, and transition to new medical providers, disrupting the continuity of care and stability they currently enjoy.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brings this motion to modify custody so that the children may remain in Anchorage with him, preserving their existing routines, relationships, and support networks, while Brandon receives scheduled visitation during school breaks and summer vacations.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25.20.931, a custody award may be modified when the court determines that a change in circumstances requires the modification and the modification is in the best interests of the child. Alaska courts have established a two-part inquiry: the moving party must first demonstrate a substantial change in circumstances, and then show that modification serves the child's best interests. Judd v. Burns, 397 P.3d 331 (Alaska 2017); Nelson v. Nelson, 263 P.3d 49 (Alaska 2011).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held that a custodial parent's decision to relocate out of a child's established community constitutes a substantial change in circumstances as a matter of law, triggering a full best-interests analysis. Judd v. Burns, 397 P.3d 331 (Alaska 2017). Once a change in circumstances is established, the court must evaluate whether modification is in the best interests of the child by reference to the factors enumerated in AS 25.24.150(c). Barrett v. Alguire, 35 P.3d 1 (Alaska 2001).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25.20.915 further provides that, unless detrimental to the child's welfare or unless the domestic violence presumption under AS 25.24.150(g) applies, the child shall have, to the greatest degree practical, equal access to both parents during custody proceedings.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BRANDON'S PROPOSED RELOCATION CONSTITUTES A SUBSTANTIAL CHANGE IN CIRCUMSTANCES UNDER AS 25.20.921.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first requirement for custody modification is satisfied here. Alaska law is clear that a custodial parent's decision to relocate constitutes a change in circumstances that triggers a hearing on the children's best interests. Judd v. Burns, 397 P.3d 331 (Alaska 2017). The Alaska Supreme Court has stated that a custodial parent's planned move out of a child's established location amounts to a substantial change in circumstances as a matter of law. Id. The same principle applies to a relocation within Alaska that would similarly disrupt the child's life and the other parent's access.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Brandon's announced intent to relocate permanently from Anchorage to Juneau is precisely this kind of triggering event. The relocation is not temporary, not contemplated by the existing order, and not anticipated by either party at the time the 2021 custody arrangement was established. In Nelson v. Nelson, 263 P.3d 49 (Alaska 2011), the Alaska Supreme Court recognized that a change in circumstances must be evaluated relative to the facts and circumstances that existed at the time of the prior custody order. Here, the 2021 order was entered when both parties resided in Anchorage, and no relocation was planned or provided for. Brandon's decision to move to Juneau therefore represents a meaningful departure from the circumstances underlying the existing order and satisfies the threshold showing required by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25.20.110(a) states that an award of custody "may be modified if the court determines that a change in circumstances requires the modification of the award and the modification is in the best interests of the child." Both elements are addressed in the sections that follow.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BRANDON'S PROPOSED RELOCATION MUST SERVE A LEGITIMATE PURPOSE, AND THE COURT MUST CONDUCT A FULL BEST-INTERESTS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in circumstances is established, the court must determine whether there are legitimate reasons for the proposed move. Judd v. Burns, 397 P.3d 331 (Alaska 2017). If legitimate reasons exist, no presumption favors either parent, and the relocating parent bears the burden of demonstrating that living with that parent in the new location better serves the children's interests than living with the non-relocating parent in the current location. Id.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does not dispute that Brandon may have professional reasons for the move. However, the existence of a career opportunity does not automatically justify uprooting two children from their established schools, medical providers, and extracurricular activities. In Ronny M. v. Nanette H., 303 P.3d 392 (Alaska 2013), the Alaska Supreme Court examined whether a parent's relocation served the children's interests and scrutinized the totality of impact on the children's lives. A job change, standing alone, is insufficient to override the children's demonstrated need for stability and continuity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BEST-INTERESTS FACTORS UNDER AS 25.24.150(c) FAVOR AWARDING PRIMARY PHYSICAL CUSTODY TO DAVID.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is required to determine custody in accordance with the best interests of the children, considering the factors enumerated in AS 25.24.150(c). Several of those factors weigh strongly in David's favor.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Physical, Emotional, Mental, and Social Needs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25.24.150(c)(1) requires the court to consider the physical, emotional, mental, religious, and social needs of the children. The children, ages 8 and 11, are at developmental stages where established routines, peer relationships, and consistent educational environments are critically important. Both children are enrolled in Anchorage schools, participate in extracurricular activities, and receive ongoing medical care from providers who know them. Disrupting all of these connections simultaneously, as Brandon's relocation would require, is contrary to the children's physical and emotional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Continuity of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directs the court to consider the length of time the child has lived in a stable, satisfactory environment and the desirability of maintaining continuity. The children have lived in Anchorage throughout their lives and have developed meaningful ties to their community. In Barrett v. Alguire, 35 P.3d 1 (Alaska 2001), the Alaska Supreme Court affirmed a custody modification where the relocating parent had uprooted children from a stable environment that served their social, cultural, and emotional needs. The same logic applies here: Brandon's relocation would sever the children from the stable Anchorage environment they have known, while David's continued residence in Anchorage would allow the children to maintain that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Willingness and Ability to Facilitate the Other Parent's Relationship With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requires the court to consider the willingness and ability of each parent to facilitate and encourage a close and continuing relationship between the other parent and the child. David has consistently exercised all of his court-ordered visitation. Brandon's decision to relocate to Juneau, without apparent consideration for David's ability to maintain regular contact with the children, raises serious questions about Brandon's willingness to support that relationship. By contrast, if David is awarded primary custody, Brandon will remain able to exercise visitation during school breaks and summer periods, preserving a meaningful parent-child relationship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Equal Access to Both Parents Under AS 25.20.070.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25.20.070 mandates that the child shall have, to the greatest degree practical, equal access to both parents during custody proceedings. If Brandon relocates to Juneau with the children, David's current every-other-weekend visitation would become logistically and financially impossible to maintain on a regular basis. Awarding primary custody to David, who remains in Anchorage, allows both parents to maintain regular contact with the children because Brandon can exercise visitation during school breaks and extended summer periods without the geographic barrier affecting day-to-day access.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Capability and Desire of Each Parent to Meet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directs the court to consider the capability and desire of each parent to meet the children's needs. David is continuously and stably employed in Anchorage, maintains stable housing, and has demonstrated consistent and committed involvement in the children's lives. He is capable of providing the children with the care, attention, and support they require on a day-to-day basis. The record demonstrates no deficiency in David's parenting, and his petition for primary custody reflects his commitment to the children's continued stability and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The Love and Affection Between the Children and Each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25.24.150(c)(4) requires the court to consider the love and affection existing between the child and each parent. David shares a close and loving bond with both children, maintained through consistent visitation and active involvement in their daily lives. In McQuade v. McQuade, 901 P.2d 421 (Alaska 1995), the Alaska Supreme Court recognized that it is a parent's present ability to provide for the needs of the child that is at issue. David's present circumstances, his stable employment, established home, and demonstrated commitment to the children, make him well-suited to serve as the primary custodial parent.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MODIFYING CUSTODY SERVES THE LEGISLATIVE POLICY OF ENSURING CHILDREN HAVE MAXIMUM PRACTICAL ACCESS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Alaska's statutory framework reflects a legislative commitment to ensuring children maintain meaningful relationships with both parents. AS 25.20.070 provides that the child shall have, to the greatest degree practical, equal access to both parents. Relocating the children to Juneau would functionally eliminate David's ability to exercise regular visitation, reducing him to a parent the children see only during school breaks and one extended summer period. This outcome is inconsistent with the policy underlying AS 25.20.070.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Awarding primary physical custody to David, with Brandon receiving visitation during school breaks and summer vacations, preserves the children's established ties to their Anchorage community while ensuring that Brandon retains a meaningful and structured role in the children's lives. This arrangement best reflects the statutory directive that children enjoy the greatest degree of practical access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ANY CHILD SUPPORT MODIFICATION SHOULD FOLLOW FROM THE CUSTODY CHANGE UNDER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Court grant David primary physical custody, a corresponding modification of child support will be necessary. Under Civil Rule 90.3(a), child support in a primary physical custody arrangement is calculated by multiplying the non-custodial parent's adjusted annual income by the applicable percentage, which is 27% for two children. Under Civil Rule 90.3(h)(1), a material change of circumstances, including a change in custody, supports modification of a final child support award, and a material change of circumstances is presumed when support as calculated under the rule is more than 15 percent greater or less than the outstanding order. David respectfully requests that the Court also address child support consistent with Civil Rule 90.3(a) following any modification of custody.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David Petrova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Brandon Petrova's proposed relocation from Anchorage to Juneau constitutes a substantial change in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Conduct a full best-interests analysis pursuant to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Modify the existing custody order to award David Petrova primary physical custody of the two minor children, with the children remaining enrolled in their Anchorage schools and continuing to receive their existing medical and extracurricular care;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Award Brandon Petrova scheduled visitation during school breaks and extended summer periods consistent with the children's best interests and the policy of AS 25.20.070;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Modify child support in accordance with Civil Rule 90.3(a) to reflect the change in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children's stability, continuity, and access to both parents are best protected by granting this petition. David Petrova stands ready to provide the children with the consistent, nurturing, and stable home environment they deserve.</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2026-08-16T21:40:47.081Z</dcterms:created>
  <dcterms:modified xsi:type="dcterms:W3CDTF">2026-08-16T21:40:47.081Z</dcterms:modified>
</cp:coreProperties>
</file>

<file path=docProps/custom.xml><?xml version="1.0" encoding="utf-8"?>
<Properties xmlns="http://schemas.openxmlformats.org/officeDocument/2006/custom-properties" xmlns:vt="http://schemas.openxmlformats.org/officeDocument/2006/docPropsVTypes"/>
</file>