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(doc-0087)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Okafor respectfully petitions this Court to modify the existing visitation schedule set forth in the 2021 custody order. The parties share joint legal custody of their two minor children, with primary physical custody vested in Petitioner. Petitioner has accepted a permanent employment position in Fairbanks, Alaska, requiring her to relocate with the children approximately 360 miles from the parties' current residence in Anchorage. Because the geographic distance renders the current weekly and biweekly visitation schedule impractical, Petitioner seeks a restructured parenting time arrangement that preserves and protects Respondent Maria Okafor's meaningful relationship with the children through extended holiday parenting time and a continuous six-week summer block. The proposed modification serves the best interests of the children, satisfies Alaska's change-of-circumstances standard, and ensures that both parents remain actively involved in the children's lives to the greatest degree practicable.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On or about 2021, the Alaska Superior Court entered a custody order granting the parties joint legal custody of their two minor children. Primary physical custody was awarded to Petitioner Priya Okafor, and Respondent Maria Okafor was awarded parenting time consisting of every other weekend and one weeknight per week.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Since the entry of the 2021 order, Petitioner has accepted a permanent, full-time employment position located in Fairbanks, Alaska. The new position offers significantly improved income and long-term stability for the family. Petitioner intends to relocate to Fairbanks by the start of the upcoming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Fairbanks is approximately 360 miles from the parties' current residence in Anchorage. The geographic separation makes the existing parenting time schedule, which was designed for parties residing in the same metropolitan area, logistically unworkable for the children and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Neither the 2021 custody order nor the parties' prior agreement contemplated or made provision for one party relocating to a distant city within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Petitioner proposes that Respondent's parenting time be restructured to consist of extended blocks during Thanksgiving, winter, and spring school holidays, as well as a continuous six-week period during the summer. This arrangement would preserve substantial parenting time for Respondent while accounting for the geographic realities of the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The children are currently enrolled in school in Anchorage. Upon relocation, they will be enrolled in school in Fairbanks. The proposed schedule is structured around the school calendar so as to minimize disruption to the children's educational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Petitioner remains committed to facilitating a close and continuing relationship between the children and Respondent, and she is willing to cooperate on reasonable travel arrangements.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custody or visitation order may be modified when the court finds both that a substantial change in circumstances has occurred and that the modification is in the best interests of the child. AS 25.20.110(a) provides that an award of custody or visitation "may be modified if the court determines that a change in circumstances requires the modification of the award and the modification is in the best interests of the child." Under this two-step framework, the party seeking modification must first demonstrate a material change in circumstances relative to the facts and conditions existing at the time of the prior order. Nelson v. Nelson, 685 P.3d 849 (Alaska 2011); McLane v. Paul, 189 P.3d 1039 (Alaska 2008). Once a change in circumstances is established, the court proceeds to a best-interests analysis guided by the factors enumerated in AS 25.24.972. Barrett v. Alguire, 35 P.3d 1 (Alaska 2001).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Throughout this analysis, Alaska law requires that the children have, to the greatest degree practical, equal access to both parents. AS 25.20.070 provides that, unless it is shown to be detrimental to the welfare of the child considering the factors under AS 25.24.150(c), "the child shall have, to the greatest degree practical, equal access to both parents during the time that the court considers an award of custody." The court's overriding obligation is to craft an arrangement that serves the best interests of the children. AS 25.24.150(c).</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PETITIONER'S RELOCATION TO FAIRBANKS CONSTITUTES A SUBSTANTIAL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under AS 25.20.110(a) is satisfied here because Petitioner's acceptance of permanent employment in Fairbanks and her consequent relocation approximately 360 miles from Anchorage represent a substantial change in circumstances affecting the children's best interests. The Alaska Supreme Court recognized in Nelson v. Nelson, 263 P.3d 49 (Alaska 2011), that a change in circumstances must be measured relative to the facts existing at the time the prior order was entered. Here, the 2021 order was entered while both parties resided in the Anchorage area. The order's parenting time structure, specifically every other weekend and one weeknight per week, was plainly designed for parties living in close geographic proximity. Nothing in the 2021 order or the parties' prior arrangement contemplated or provided for a relocation of this magnitude.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one parent's relocation out of a shared geographic area constitutes a significant change in circumstances as a matter of law. Nelson v. Nelson, 263 P.3d 49 (Alaska 2011). Although Nelson addressed relocation outside of Alaska, the principle it articulates applies with full force to a 360-mile intrastate move that renders the existing parenting schedule functionally impossible to perform. A move of this distance is not a minor adjustment; it converts weekly overnight exchanges and mid-week visits into logistically and financially burdensome undertakings that cannot reasonably be maintained on the current schedule. The substantial disruption to the existing parenting time structure that results from Petitioner's permanent relocation satisfies the change-of-circumstances requirement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the Alaska Supreme Court has emphasized that courts should consider whether a change in circumstances was anticipated or planned for at the time of the original order. Nelson v. Nelson, 263 P.3d 49 (Alaska 2011). The 2021 order contains no relocation provision and does not address the possibility that Petitioner would move to another city. Because the relocation was not anticipated by the existing order, it qualifies as a new and substantial change in circumstances warranting a hearing on modification.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MODIFICATION OF THE VISITATION SCHEDULE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must determine whether the proposed modification serves the children's best interests by reference to the statutory factors set forth in AS 25.24.150(c). Those factors include, among others: the physical, emotional, mental, religious, and social needs of the child; the capability and desire of each parent to meet those needs; the length of time the child has lived in a stable, satisfactory environment and the desirability of maintaining continuity; and the willingness and ability of each parent to facilitate and encourage a close and continuing relationship between the other parent and the child. AS 25.24.150(c)(1), (2), (5), (6).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restructured schedule serves the children's best interests for the following reasons.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Proposed Schedule Maintains Stability and Educational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children's primary residence with Petitioner has been the stable, consistent arrangement since the 2021 order. Petitioner's relocation to Fairbanks for permanent employment preserves that stability by keeping the children with their primary custodial parent in a settled home environment. Maintaining continuity of the primary custodial relationship is a significant factor under AS 25.24.150(c)(5). The proposed schedule, which aligns Respondent's extended parenting time with school holiday breaks and the summer recess, allows the children to attend school in Fairbanks without frequent, disruptive cross-state travel during the academic year. Courts have recognized the importance of avoiding repeated disruptions to children's living arrangements. Nelson v. Nelson, 263 P.3d 49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Proposed Schedule Preserves and Protects Respondent's Meaningful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Petitioner's proposed schedule is not designed to diminish Respondent's role in the children's lives. To the contrary, it replaces a schedule that would become functionally unenforceable with one that provides Respondent substantial, meaningful, and predictable parenting time. Extended holiday blocks and a continuous six-week summer period offer Respondent uninterrupted time with the children that allows for genuine relationship-building rather than brief, logistically strained visits.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strongly favors ensuring that children have maximum access to both parents. AS 25.20.070 requires that children have equal access to both parents to the greatest degree practical. The operative word is "practical." A schedule requiring a 360-mile commute for weeknight visits and biweekly weekend exchanges is not practical by any reasonable measure. The proposed modification recalibrates the schedule to what is genuinely achievable and meaningful given the new geographic reality, consistent with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Petitioner's Willingness to Facilitate the Relationship Weighs in Favor of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considers the willingness and ability of each parent to facilitate and encourage a close and continuing relationship between the other parent and the child. Petitioner is committed to supporting Respondent's ongoing involvement in the children's lives. Petitioner is willing to cooperate on reasonable travel logistics and to ensure that Respondent has reliable communication access to the children during periods between in-person parenting time. This cooperative posture supports the proposed modification and reflects the spirit of joint legal custody that both parties share under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Children's Physical, Emotional, and Social Needs Favor the Proposed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children's physical, emotional, mental, and social needs are best served by a stable primary residence in Fairbanks with their primary custodial parent, combined with extended, predictable time with Respondent during breaks from school. AS 25.24.150(c)(1) and (2). Frequent long-distance travel during the school year imposes stress, fatigue, and educational disruption on children. Concentrated parenting time during holidays and summer reduces travel frequency while providing Respondent extended, quality time with the children. This arrangement is consistent with the approach Alaska courts have approved in cases involving parents who no longer share the same geographic area. Hope P. v. Flynn G., 503 P.3d 765 (Alaska 2015); Havel v. Hogan, 216 P.3d 1142 (Alaska 2009).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ADDRESS TRAVEL EXPENSE ALLOCATION AS PART OF THE MODIFICATION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90.3(g) provides that, after determining a child support award, "the court shall allocate reasonable travel expenses which are necessary to exercise visitation between the parties as may be just and proper for them to contribute." The geographic distance between Anchorage and Fairbanks will necessarily generate travel costs for the exercise of Respondent's restructured parenting time. Petitioner respectfully requests that the Court allocate reasonable travel expenses in a manner that is just and equitable given the parties' respective financial circumstances. A fair allocation will ensure that the parenting time awarded to Respondent is exercisable in practice and not rendered illusory by unaddressed financial burden.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CHILD SUPPORT SHOULD BE RECALCULATED TO REFLECT THE NEW PARENTING TIME STRUCTURE.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proposed modification restructures the parenting time arrangement from a schedule that includes a weekly weeknight visit and biweekly weekend exchanges to one based on extended holiday and summer blocks, the existing child support calculation will require adjustment. Child support in primary custody cases is calculated under Civil Rule 90.3(a) based on the adjusted annual income of the non-custodial parent. The shift to extended-block parenting time may also implicate the extended visitation credit provisions of Civil Rule 90.3(a)(3), which permit a reduction of up to 75 percent of child support payments for any period in which the obligor parent has extended visitation of over 27 consecutive days. The Court should order recalculation of child support consistent with the new parenting time schedule at the time it enters the modification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Okafor has established a substantial change in circumstances, namely her permanent relocation to Fairbanks for employment, that warrants modification of the 2021 visitation schedule. The proposed restructured schedule, providing Respondent with extended holiday parenting time and a continuous six-week summer block, is in the best interests of the children. It preserves the children's educational continuity and residential stability, ensures Respondent meaningful and practical parenting time, and reflects Petitioner's sincere commitment to fostering the children's relationship with both parents, consistent with AS 25.20.070, AS 25.24.150(c), and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substantial change in circumstances has occurred warranting modification of the 2021 custody and visitation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 modified visitation schedule providing Respondent extended parenting time during Thanksgiving, winter, and spring school breaks, and a continuous six-week summer parenting period;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Allocate reasonable travel expenses between the parties pursuant to Civil Rule 90.3(g);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Recalculate child support consistent with the modified parenting time schedule pursuant to Civil Rule 90.3(a).</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2026-08-16T21:43:11.701Z</dcterms:created>
  <dcterms:modified xsi:type="dcterms:W3CDTF">2026-08-16T21:43:11.701Z</dcterms:modified>
</cp:coreProperties>
</file>

<file path=docProps/custom.xml><?xml version="1.0" encoding="utf-8"?>
<Properties xmlns="http://schemas.openxmlformats.org/officeDocument/2006/custom-properties" xmlns:vt="http://schemas.openxmlformats.org/officeDocument/2006/docPropsVTypes"/>
</file>